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8"/>
        <w:gridCol w:w="7106"/>
      </w:tblGrid>
      <w:tr w:rsidR="00E3009F" w:rsidRPr="00E3009F" w14:paraId="453F8DCB" w14:textId="77777777" w:rsidTr="000859BC">
        <w:trPr>
          <w:jc w:val="center"/>
        </w:trPr>
        <w:tc>
          <w:tcPr>
            <w:tcW w:w="4968" w:type="dxa"/>
          </w:tcPr>
          <w:p w14:paraId="4C79357D" w14:textId="77777777" w:rsidR="000859BC" w:rsidRPr="00E3009F" w:rsidRDefault="000859BC" w:rsidP="000859BC">
            <w:pPr>
              <w:jc w:val="center"/>
              <w:rPr>
                <w:rFonts w:cs="Times New Roman"/>
                <w:sz w:val="26"/>
                <w:szCs w:val="26"/>
              </w:rPr>
            </w:pPr>
            <w:r w:rsidRPr="00E3009F">
              <w:rPr>
                <w:rFonts w:cs="Times New Roman"/>
                <w:sz w:val="26"/>
                <w:szCs w:val="26"/>
              </w:rPr>
              <w:t>UBND TỈNH THÁI NGUYÊN</w:t>
            </w:r>
          </w:p>
          <w:p w14:paraId="6105D38D" w14:textId="77777777" w:rsidR="000859BC" w:rsidRPr="00E3009F" w:rsidRDefault="000859BC" w:rsidP="000859BC">
            <w:pPr>
              <w:jc w:val="center"/>
              <w:rPr>
                <w:rFonts w:cs="Times New Roman"/>
                <w:b/>
                <w:sz w:val="26"/>
                <w:szCs w:val="26"/>
              </w:rPr>
            </w:pPr>
            <w:r w:rsidRPr="00E3009F">
              <w:rPr>
                <w:rFonts w:cs="Times New Roman"/>
                <w:b/>
                <w:sz w:val="26"/>
                <w:szCs w:val="26"/>
              </w:rPr>
              <w:t>SỞ KHOA HỌC VÀ CÔNG NGHỆ</w:t>
            </w:r>
          </w:p>
          <w:p w14:paraId="3D588683" w14:textId="6AB1238C" w:rsidR="000859BC" w:rsidRPr="00E3009F" w:rsidRDefault="000859BC" w:rsidP="00174DBA">
            <w:pPr>
              <w:jc w:val="center"/>
              <w:rPr>
                <w:rFonts w:cs="Times New Roman"/>
                <w:b/>
              </w:rPr>
            </w:pPr>
            <w:r w:rsidRPr="00E3009F">
              <w:rPr>
                <w:rFonts w:cs="Times New Roman"/>
                <w:noProof/>
              </w:rPr>
              <mc:AlternateContent>
                <mc:Choice Requires="wps">
                  <w:drawing>
                    <wp:anchor distT="0" distB="0" distL="114300" distR="114300" simplePos="0" relativeHeight="251659264" behindDoc="0" locked="0" layoutInCell="1" allowOverlap="1" wp14:anchorId="7BA3C73B" wp14:editId="69D4D40D">
                      <wp:simplePos x="0" y="0"/>
                      <wp:positionH relativeFrom="column">
                        <wp:posOffset>954243</wp:posOffset>
                      </wp:positionH>
                      <wp:positionV relativeFrom="paragraph">
                        <wp:posOffset>17780</wp:posOffset>
                      </wp:positionV>
                      <wp:extent cx="1193165" cy="0"/>
                      <wp:effectExtent l="0" t="0" r="2603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3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A178BF1" id="_x0000_t32" coordsize="21600,21600" o:spt="32" o:oned="t" path="m,l21600,21600e" filled="f">
                      <v:path arrowok="t" fillok="f" o:connecttype="none"/>
                      <o:lock v:ext="edit" shapetype="t"/>
                    </v:shapetype>
                    <v:shape id="Straight Arrow Connector 2" o:spid="_x0000_s1026" type="#_x0000_t32" style="position:absolute;margin-left:75.15pt;margin-top:1.4pt;width:93.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3K8uAEAAFYDAAAOAAAAZHJzL2Uyb0RvYy54bWysU8Fu2zAMvQ/YPwi6L44zpFi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7r+vZzfbOU&#10;Ql18FTSXxEAcvxocRTZayZHA9kPcoPdppEh1KQOHJ46ZFjSXhFzV46N1rkzWeTG18na5WJYERmd1&#10;duYwpn63cSQOkHejfKXH5HkfRrj3uoANBvTD2Y5g3Zudijt/liarkVePmx3q05YukqXhFZbnRcvb&#10;8f5esn//DutfAAAA//8DAFBLAwQUAAYACAAAACEAshZ8FNsAAAAHAQAADwAAAGRycy9kb3ducmV2&#10;LnhtbEyPwU7DMBBE70j9B2srcUHUbqKiEuJUVaUeONJW4urGSxKI11HsNKFfz8KFHp9mNPs230yu&#10;FRfsQ+NJw3KhQCCV3jZUaTgd949rECEasqb1hBq+McCmmN3lJrN+pDe8HGIleIRCZjTUMXaZlKGs&#10;0Zmw8B0SZx++dyYy9pW0vRl53LUyUepJOtMQX6hNh7say6/D4DRgGFZLtX121en1Oj68J9fPsTtq&#10;fT+fti8gIk7xvwy/+qwOBTud/UA2iJZ5pVKuakj4A87TdJ2AOP+xLHJ561/8AAAA//8DAFBLAQIt&#10;ABQABgAIAAAAIQC2gziS/gAAAOEBAAATAAAAAAAAAAAAAAAAAAAAAABbQ29udGVudF9UeXBlc10u&#10;eG1sUEsBAi0AFAAGAAgAAAAhADj9If/WAAAAlAEAAAsAAAAAAAAAAAAAAAAALwEAAF9yZWxzLy5y&#10;ZWxzUEsBAi0AFAAGAAgAAAAhANQvcry4AQAAVgMAAA4AAAAAAAAAAAAAAAAALgIAAGRycy9lMm9E&#10;b2MueG1sUEsBAi0AFAAGAAgAAAAhALIWfBTbAAAABwEAAA8AAAAAAAAAAAAAAAAAEgQAAGRycy9k&#10;b3ducmV2LnhtbFBLBQYAAAAABAAEAPMAAAAaBQAAAAA=&#10;"/>
                  </w:pict>
                </mc:Fallback>
              </mc:AlternateContent>
            </w:r>
          </w:p>
        </w:tc>
        <w:tc>
          <w:tcPr>
            <w:tcW w:w="7106" w:type="dxa"/>
          </w:tcPr>
          <w:p w14:paraId="6E738511" w14:textId="77777777" w:rsidR="000859BC" w:rsidRPr="00E3009F" w:rsidRDefault="000859BC" w:rsidP="000859BC">
            <w:pPr>
              <w:jc w:val="center"/>
              <w:rPr>
                <w:rFonts w:cs="Times New Roman"/>
                <w:b/>
                <w:sz w:val="26"/>
                <w:szCs w:val="26"/>
              </w:rPr>
            </w:pPr>
            <w:r w:rsidRPr="00E3009F">
              <w:rPr>
                <w:rFonts w:cs="Times New Roman"/>
                <w:b/>
                <w:sz w:val="26"/>
                <w:szCs w:val="26"/>
              </w:rPr>
              <w:t>CỘNG HÒA XÃ HỘI CHỦ NGHĨA VIỆT NAM</w:t>
            </w:r>
          </w:p>
          <w:p w14:paraId="60C4D728" w14:textId="77777777" w:rsidR="000859BC" w:rsidRPr="00E3009F" w:rsidRDefault="000859BC" w:rsidP="000859BC">
            <w:pPr>
              <w:jc w:val="center"/>
              <w:rPr>
                <w:rFonts w:cs="Times New Roman"/>
                <w:b/>
                <w:szCs w:val="28"/>
              </w:rPr>
            </w:pPr>
            <w:r w:rsidRPr="00E3009F">
              <w:rPr>
                <w:rFonts w:cs="Times New Roman"/>
                <w:b/>
                <w:szCs w:val="28"/>
              </w:rPr>
              <w:t>Độc lập - Tự do - Hạnh phúc</w:t>
            </w:r>
          </w:p>
          <w:p w14:paraId="7A7F0EA4" w14:textId="77777777" w:rsidR="000859BC" w:rsidRPr="00E3009F" w:rsidRDefault="000859BC" w:rsidP="000859BC">
            <w:pPr>
              <w:jc w:val="center"/>
              <w:rPr>
                <w:rFonts w:cs="Times New Roman"/>
                <w:i/>
              </w:rPr>
            </w:pPr>
            <w:r w:rsidRPr="00E3009F">
              <w:rPr>
                <w:rFonts w:cs="Times New Roman"/>
                <w:i/>
                <w:noProof/>
              </w:rPr>
              <mc:AlternateContent>
                <mc:Choice Requires="wps">
                  <w:drawing>
                    <wp:anchor distT="0" distB="0" distL="114300" distR="114300" simplePos="0" relativeHeight="251661312" behindDoc="0" locked="0" layoutInCell="1" allowOverlap="1" wp14:anchorId="782E55D0" wp14:editId="05B3AFC4">
                      <wp:simplePos x="0" y="0"/>
                      <wp:positionH relativeFrom="column">
                        <wp:posOffset>1107913</wp:posOffset>
                      </wp:positionH>
                      <wp:positionV relativeFrom="paragraph">
                        <wp:posOffset>21590</wp:posOffset>
                      </wp:positionV>
                      <wp:extent cx="21240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EB32381" id="Straight Arrow Connector 1" o:spid="_x0000_s1026" type="#_x0000_t32" style="position:absolute;margin-left:87.25pt;margin-top:1.7pt;width:16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VMpuAEAAFYDAAAOAAAAZHJzL2Uyb0RvYy54bWysU01v2zAMvQ/YfxB0X/yBZR9GnB7SdZdu&#10;C9DuBzCybAuVRYFU4uTfT1KTtNhuQ30QKJF8fHykVzfHyYqDJjboWlktSim0U9gZN7Ty9+Pdhy9S&#10;cADXgUWnW3nSLG/W79+tZt/oGke0nSYRQRw3s2/lGIJvioLVqCfgBXrtorNHmiDEKw1FRzBH9MkW&#10;dVl+KmakzhMqzRxfb5+dcp3x+16r8KvvWQdhWxm5hXxSPnfpLNYraAYCPxp1pgH/wWIC42LRK9Qt&#10;BBB7Mv9ATUYRMvZhoXAqsO+N0rmH2E1V/tXNwwhe516iOOyvMvHbwaqfh43bUqKuju7B36N6YuFw&#10;M4IbdCbwePJxcFWSqpg9N9eUdGG/JbGbf2AXY2AfMKtw7GlKkLE/ccxin65i62MQKj7WVf2x/LyU&#10;Ql18BTSXRE8cvmucRDJayYHADGPYoHNxpEhVLgOHew6JFjSXhFTV4Z2xNk/WOjG38uuyXuYERmu6&#10;5ExhTMNuY0kcIO1G/nKP0fM6jHDvugw2aui+ne0Axj7bsbh1Z2mSGmn1uNlhd9rSRbI4vMzyvGhp&#10;O17fc/bL77D+AwAA//8DAFBLAwQUAAYACAAAACEAvicdTdsAAAAHAQAADwAAAGRycy9kb3ducmV2&#10;LnhtbEyPQU/CQBCF7yb+h82YcDGyC1KV0i0hJB48CiRel+7YVrqzTXdLK7/e0Qsev7yXN99k69E1&#10;4oxdqD1pmE0VCKTC25pKDYf968MLiBANWdN4Qg3fGGCd395kJrV+oHc872IpeIRCajRUMbaplKGo&#10;0Jkw9S0SZ5++cyYydqW0nRl43DVyrtSTdKYmvlCZFrcVFqdd7zRg6JOZ2ixdeXi7DPcf88vX0O61&#10;ntyNmxWIiGO8luFXn9UhZ6ej78kG0TA/LxKuanhcgOA8UUv+7fjHMs/kf//8BwAA//8DAFBLAQIt&#10;ABQABgAIAAAAIQC2gziS/gAAAOEBAAATAAAAAAAAAAAAAAAAAAAAAABbQ29udGVudF9UeXBlc10u&#10;eG1sUEsBAi0AFAAGAAgAAAAhADj9If/WAAAAlAEAAAsAAAAAAAAAAAAAAAAALwEAAF9yZWxzLy5y&#10;ZWxzUEsBAi0AFAAGAAgAAAAhAFaVUym4AQAAVgMAAA4AAAAAAAAAAAAAAAAALgIAAGRycy9lMm9E&#10;b2MueG1sUEsBAi0AFAAGAAgAAAAhAL4nHU3bAAAABwEAAA8AAAAAAAAAAAAAAAAAEgQAAGRycy9k&#10;b3ducmV2LnhtbFBLBQYAAAAABAAEAPMAAAAaBQAAAAA=&#10;"/>
                  </w:pict>
                </mc:Fallback>
              </mc:AlternateContent>
            </w:r>
          </w:p>
          <w:p w14:paraId="7761A61B" w14:textId="4DD4261E" w:rsidR="000859BC" w:rsidRPr="00E3009F" w:rsidRDefault="000859BC" w:rsidP="000859BC">
            <w:pPr>
              <w:jc w:val="center"/>
              <w:rPr>
                <w:rFonts w:cs="Times New Roman"/>
                <w:i/>
                <w:szCs w:val="28"/>
              </w:rPr>
            </w:pPr>
            <w:r w:rsidRPr="00E3009F">
              <w:rPr>
                <w:rFonts w:cs="Times New Roman"/>
                <w:i/>
                <w:szCs w:val="28"/>
              </w:rPr>
              <w:t>Thái Nguyên, ngày</w:t>
            </w:r>
            <w:r w:rsidR="00406205" w:rsidRPr="00E3009F">
              <w:rPr>
                <w:rFonts w:cs="Times New Roman"/>
                <w:i/>
                <w:szCs w:val="28"/>
              </w:rPr>
              <w:t xml:space="preserve"> 03</w:t>
            </w:r>
            <w:r w:rsidRPr="00E3009F">
              <w:rPr>
                <w:rFonts w:cs="Times New Roman"/>
                <w:i/>
                <w:szCs w:val="28"/>
              </w:rPr>
              <w:t xml:space="preserve"> tháng </w:t>
            </w:r>
            <w:r w:rsidR="00406205" w:rsidRPr="00E3009F">
              <w:rPr>
                <w:rFonts w:cs="Times New Roman"/>
                <w:i/>
                <w:szCs w:val="28"/>
              </w:rPr>
              <w:t>6</w:t>
            </w:r>
            <w:r w:rsidR="00136083" w:rsidRPr="00E3009F">
              <w:rPr>
                <w:rFonts w:cs="Times New Roman"/>
                <w:i/>
                <w:szCs w:val="28"/>
              </w:rPr>
              <w:t xml:space="preserve"> </w:t>
            </w:r>
            <w:r w:rsidRPr="00E3009F">
              <w:rPr>
                <w:rFonts w:cs="Times New Roman"/>
                <w:i/>
                <w:szCs w:val="28"/>
              </w:rPr>
              <w:t xml:space="preserve"> năm 2026</w:t>
            </w:r>
          </w:p>
          <w:p w14:paraId="082D19B3" w14:textId="77777777" w:rsidR="000859BC" w:rsidRPr="00E3009F" w:rsidRDefault="000859BC" w:rsidP="00174DBA">
            <w:pPr>
              <w:jc w:val="center"/>
              <w:rPr>
                <w:rFonts w:cs="Times New Roman"/>
                <w:b/>
              </w:rPr>
            </w:pPr>
          </w:p>
        </w:tc>
      </w:tr>
    </w:tbl>
    <w:p w14:paraId="51481B53" w14:textId="77777777" w:rsidR="000859BC" w:rsidRPr="00E3009F" w:rsidRDefault="000859BC" w:rsidP="00174DBA">
      <w:pPr>
        <w:jc w:val="center"/>
        <w:rPr>
          <w:rFonts w:cs="Times New Roman"/>
          <w:b/>
        </w:rPr>
      </w:pPr>
    </w:p>
    <w:p w14:paraId="09B89C5B" w14:textId="3F74A845" w:rsidR="005064A3" w:rsidRPr="00E3009F" w:rsidRDefault="0066229B" w:rsidP="00174DBA">
      <w:pPr>
        <w:jc w:val="center"/>
        <w:rPr>
          <w:rFonts w:cs="Times New Roman"/>
          <w:b/>
        </w:rPr>
      </w:pPr>
      <w:r w:rsidRPr="00E3009F">
        <w:rPr>
          <w:rFonts w:cs="Times New Roman"/>
          <w:b/>
        </w:rPr>
        <w:t>BẢN SO SÁNH, THUYẾT MINH NỘI DUNG DỰ THẢO</w:t>
      </w:r>
    </w:p>
    <w:p w14:paraId="0A5316B2" w14:textId="75770245" w:rsidR="00174DBA" w:rsidRPr="00E3009F" w:rsidRDefault="0066229B" w:rsidP="007C399D">
      <w:pPr>
        <w:spacing w:after="360"/>
        <w:jc w:val="center"/>
        <w:rPr>
          <w:rFonts w:cs="Times New Roman"/>
          <w:b/>
          <w:spacing w:val="-6"/>
          <w:szCs w:val="28"/>
        </w:rPr>
      </w:pPr>
      <w:r w:rsidRPr="00E3009F">
        <w:rPr>
          <w:rFonts w:cs="Times New Roman"/>
          <w:b/>
          <w:spacing w:val="-6"/>
        </w:rPr>
        <w:t xml:space="preserve">Nghị quyết quy định </w:t>
      </w:r>
      <w:r w:rsidR="00B07D77" w:rsidRPr="00E3009F">
        <w:rPr>
          <w:rFonts w:cs="Times New Roman"/>
          <w:b/>
          <w:spacing w:val="-6"/>
          <w:szCs w:val="28"/>
        </w:rPr>
        <w:t>mức chi xây dựng tiêu chuẩn cơ sở và quy chuẩn kỹ thuật địa phương trên địa bàn tỉnh Thái Nguyên</w:t>
      </w:r>
    </w:p>
    <w:tbl>
      <w:tblPr>
        <w:tblStyle w:val="LiBang"/>
        <w:tblW w:w="15362" w:type="dxa"/>
        <w:jc w:val="center"/>
        <w:tblLayout w:type="fixed"/>
        <w:tblLook w:val="04A0" w:firstRow="1" w:lastRow="0" w:firstColumn="1" w:lastColumn="0" w:noHBand="0" w:noVBand="1"/>
      </w:tblPr>
      <w:tblGrid>
        <w:gridCol w:w="851"/>
        <w:gridCol w:w="1573"/>
        <w:gridCol w:w="3550"/>
        <w:gridCol w:w="2872"/>
        <w:gridCol w:w="1581"/>
        <w:gridCol w:w="3119"/>
        <w:gridCol w:w="1816"/>
      </w:tblGrid>
      <w:tr w:rsidR="00E3009F" w:rsidRPr="00E3009F" w14:paraId="2D8FDD09" w14:textId="77777777" w:rsidTr="00A12262">
        <w:trPr>
          <w:trHeight w:val="562"/>
          <w:tblHeader/>
          <w:jc w:val="center"/>
        </w:trPr>
        <w:tc>
          <w:tcPr>
            <w:tcW w:w="851" w:type="dxa"/>
            <w:vAlign w:val="center"/>
          </w:tcPr>
          <w:p w14:paraId="2520DEFF" w14:textId="77777777" w:rsidR="0039328D" w:rsidRPr="00E3009F" w:rsidRDefault="0039328D" w:rsidP="00406205">
            <w:pPr>
              <w:spacing w:line="240" w:lineRule="atLeast"/>
              <w:jc w:val="center"/>
              <w:rPr>
                <w:rFonts w:cs="Times New Roman"/>
                <w:b/>
                <w:sz w:val="26"/>
                <w:szCs w:val="26"/>
              </w:rPr>
            </w:pPr>
            <w:r w:rsidRPr="00E3009F">
              <w:rPr>
                <w:rFonts w:cs="Times New Roman"/>
                <w:b/>
                <w:sz w:val="26"/>
                <w:szCs w:val="26"/>
              </w:rPr>
              <w:t>TT</w:t>
            </w:r>
          </w:p>
        </w:tc>
        <w:tc>
          <w:tcPr>
            <w:tcW w:w="1573" w:type="dxa"/>
            <w:vAlign w:val="center"/>
          </w:tcPr>
          <w:p w14:paraId="4DE14841" w14:textId="02DE5FD0" w:rsidR="0039328D" w:rsidRPr="00E3009F" w:rsidRDefault="00714C13" w:rsidP="00406205">
            <w:pPr>
              <w:spacing w:line="240" w:lineRule="atLeast"/>
              <w:jc w:val="center"/>
              <w:rPr>
                <w:rFonts w:cs="Times New Roman"/>
                <w:b/>
                <w:sz w:val="26"/>
                <w:szCs w:val="26"/>
              </w:rPr>
            </w:pPr>
            <w:r w:rsidRPr="00E3009F">
              <w:rPr>
                <w:rFonts w:cs="Times New Roman"/>
                <w:b/>
                <w:sz w:val="26"/>
                <w:szCs w:val="26"/>
              </w:rPr>
              <w:t>Nội dung</w:t>
            </w:r>
          </w:p>
        </w:tc>
        <w:tc>
          <w:tcPr>
            <w:tcW w:w="3550" w:type="dxa"/>
            <w:vAlign w:val="center"/>
          </w:tcPr>
          <w:p w14:paraId="7917AAEF" w14:textId="4312F117" w:rsidR="0039328D" w:rsidRPr="00E3009F" w:rsidRDefault="0039328D" w:rsidP="00406205">
            <w:pPr>
              <w:spacing w:line="240" w:lineRule="atLeast"/>
              <w:jc w:val="center"/>
              <w:rPr>
                <w:rFonts w:cs="Times New Roman"/>
                <w:b/>
                <w:sz w:val="26"/>
                <w:szCs w:val="26"/>
              </w:rPr>
            </w:pPr>
            <w:r w:rsidRPr="00E3009F">
              <w:rPr>
                <w:rFonts w:cs="Times New Roman"/>
                <w:b/>
                <w:sz w:val="26"/>
                <w:szCs w:val="26"/>
              </w:rPr>
              <w:t xml:space="preserve">Thông tư số </w:t>
            </w:r>
            <w:r w:rsidR="00B07D77" w:rsidRPr="00E3009F">
              <w:rPr>
                <w:rFonts w:cs="Times New Roman"/>
                <w:b/>
                <w:sz w:val="26"/>
                <w:szCs w:val="26"/>
              </w:rPr>
              <w:t>2</w:t>
            </w:r>
            <w:r w:rsidR="00962FDD" w:rsidRPr="00E3009F">
              <w:rPr>
                <w:rFonts w:cs="Times New Roman"/>
                <w:b/>
                <w:sz w:val="26"/>
                <w:szCs w:val="26"/>
              </w:rPr>
              <w:t>3</w:t>
            </w:r>
            <w:r w:rsidR="00B07D77" w:rsidRPr="00E3009F">
              <w:rPr>
                <w:rFonts w:cs="Times New Roman"/>
                <w:b/>
                <w:sz w:val="26"/>
                <w:szCs w:val="26"/>
              </w:rPr>
              <w:t>/202</w:t>
            </w:r>
            <w:r w:rsidR="00962FDD" w:rsidRPr="00E3009F">
              <w:rPr>
                <w:rFonts w:cs="Times New Roman"/>
                <w:b/>
                <w:sz w:val="26"/>
                <w:szCs w:val="26"/>
              </w:rPr>
              <w:t>6</w:t>
            </w:r>
            <w:r w:rsidRPr="00E3009F">
              <w:rPr>
                <w:rFonts w:cs="Times New Roman"/>
                <w:b/>
                <w:sz w:val="26"/>
                <w:szCs w:val="26"/>
              </w:rPr>
              <w:t xml:space="preserve">/TT-BTC ngày </w:t>
            </w:r>
            <w:r w:rsidR="00962FDD" w:rsidRPr="00E3009F">
              <w:rPr>
                <w:rFonts w:cs="Times New Roman"/>
                <w:b/>
                <w:sz w:val="26"/>
                <w:szCs w:val="26"/>
              </w:rPr>
              <w:t>28/5/2026</w:t>
            </w:r>
          </w:p>
        </w:tc>
        <w:tc>
          <w:tcPr>
            <w:tcW w:w="2872" w:type="dxa"/>
            <w:vAlign w:val="center"/>
          </w:tcPr>
          <w:p w14:paraId="1C058BE9" w14:textId="139948B9" w:rsidR="0039328D" w:rsidRPr="00E3009F" w:rsidRDefault="0039328D" w:rsidP="00406205">
            <w:pPr>
              <w:spacing w:line="240" w:lineRule="atLeast"/>
              <w:jc w:val="center"/>
              <w:rPr>
                <w:rFonts w:cs="Times New Roman"/>
                <w:b/>
                <w:sz w:val="26"/>
                <w:szCs w:val="26"/>
              </w:rPr>
            </w:pPr>
            <w:r w:rsidRPr="00E3009F">
              <w:rPr>
                <w:rFonts w:cs="Times New Roman"/>
                <w:b/>
                <w:sz w:val="26"/>
                <w:szCs w:val="26"/>
              </w:rPr>
              <w:t xml:space="preserve">Nghị quyết số </w:t>
            </w:r>
            <w:r w:rsidR="00A315BE" w:rsidRPr="00E3009F">
              <w:rPr>
                <w:rFonts w:cs="Times New Roman"/>
                <w:b/>
                <w:sz w:val="26"/>
                <w:szCs w:val="26"/>
              </w:rPr>
              <w:t>21/2022</w:t>
            </w:r>
            <w:r w:rsidRPr="00E3009F">
              <w:rPr>
                <w:rFonts w:cs="Times New Roman"/>
                <w:b/>
                <w:sz w:val="26"/>
                <w:szCs w:val="26"/>
              </w:rPr>
              <w:t>/N</w:t>
            </w:r>
            <w:r w:rsidR="00761754" w:rsidRPr="00E3009F">
              <w:rPr>
                <w:rFonts w:cs="Times New Roman"/>
                <w:b/>
                <w:sz w:val="26"/>
                <w:szCs w:val="26"/>
              </w:rPr>
              <w:t>Q</w:t>
            </w:r>
            <w:r w:rsidRPr="00E3009F">
              <w:rPr>
                <w:rFonts w:cs="Times New Roman"/>
                <w:b/>
                <w:sz w:val="26"/>
                <w:szCs w:val="26"/>
              </w:rPr>
              <w:t xml:space="preserve">-HĐND ngày </w:t>
            </w:r>
            <w:r w:rsidR="00A315BE" w:rsidRPr="00E3009F">
              <w:rPr>
                <w:rFonts w:cs="Times New Roman"/>
                <w:b/>
                <w:sz w:val="26"/>
                <w:szCs w:val="26"/>
              </w:rPr>
              <w:t>10/12/2022</w:t>
            </w:r>
            <w:r w:rsidRPr="00E3009F">
              <w:rPr>
                <w:rFonts w:cs="Times New Roman"/>
                <w:b/>
                <w:sz w:val="26"/>
                <w:szCs w:val="26"/>
              </w:rPr>
              <w:t xml:space="preserve"> của </w:t>
            </w:r>
            <w:r w:rsidR="000859BC" w:rsidRPr="00E3009F">
              <w:rPr>
                <w:rFonts w:cs="Times New Roman"/>
                <w:b/>
                <w:sz w:val="26"/>
                <w:szCs w:val="26"/>
              </w:rPr>
              <w:t xml:space="preserve">HĐND </w:t>
            </w:r>
            <w:r w:rsidRPr="00E3009F">
              <w:rPr>
                <w:rFonts w:cs="Times New Roman"/>
                <w:b/>
                <w:sz w:val="26"/>
                <w:szCs w:val="26"/>
              </w:rPr>
              <w:t>tỉnh Bắc Kạn</w:t>
            </w:r>
          </w:p>
        </w:tc>
        <w:tc>
          <w:tcPr>
            <w:tcW w:w="1581" w:type="dxa"/>
            <w:vAlign w:val="center"/>
          </w:tcPr>
          <w:p w14:paraId="0699CF7A" w14:textId="74690252" w:rsidR="0039328D" w:rsidRPr="00E3009F" w:rsidRDefault="0039328D" w:rsidP="00406205">
            <w:pPr>
              <w:spacing w:line="240" w:lineRule="atLeast"/>
              <w:jc w:val="center"/>
              <w:rPr>
                <w:rFonts w:cs="Times New Roman"/>
                <w:b/>
                <w:sz w:val="26"/>
                <w:szCs w:val="26"/>
              </w:rPr>
            </w:pPr>
            <w:r w:rsidRPr="00E3009F">
              <w:rPr>
                <w:rFonts w:cs="Times New Roman"/>
                <w:b/>
                <w:sz w:val="26"/>
                <w:szCs w:val="26"/>
              </w:rPr>
              <w:t>Tỉnh Thái Nguyên (</w:t>
            </w:r>
            <w:r w:rsidR="000859BC" w:rsidRPr="00E3009F">
              <w:rPr>
                <w:rFonts w:cs="Times New Roman"/>
                <w:b/>
                <w:sz w:val="26"/>
                <w:szCs w:val="26"/>
              </w:rPr>
              <w:t>trước sáp nhập</w:t>
            </w:r>
            <w:r w:rsidRPr="00E3009F">
              <w:rPr>
                <w:rFonts w:cs="Times New Roman"/>
                <w:b/>
                <w:sz w:val="26"/>
                <w:szCs w:val="26"/>
              </w:rPr>
              <w:t>)</w:t>
            </w:r>
          </w:p>
        </w:tc>
        <w:tc>
          <w:tcPr>
            <w:tcW w:w="3119" w:type="dxa"/>
            <w:vAlign w:val="center"/>
          </w:tcPr>
          <w:p w14:paraId="39C3C542" w14:textId="6838D53F" w:rsidR="0039328D" w:rsidRPr="00E3009F" w:rsidRDefault="0039328D" w:rsidP="00406205">
            <w:pPr>
              <w:spacing w:line="240" w:lineRule="atLeast"/>
              <w:jc w:val="center"/>
              <w:rPr>
                <w:rFonts w:cs="Times New Roman"/>
                <w:b/>
                <w:sz w:val="26"/>
                <w:szCs w:val="26"/>
              </w:rPr>
            </w:pPr>
            <w:r w:rsidRPr="00E3009F">
              <w:rPr>
                <w:rFonts w:cs="Times New Roman"/>
                <w:b/>
                <w:sz w:val="26"/>
                <w:szCs w:val="26"/>
              </w:rPr>
              <w:t xml:space="preserve">Dự thảo </w:t>
            </w:r>
            <w:r w:rsidR="00840773" w:rsidRPr="00E3009F">
              <w:rPr>
                <w:rFonts w:cs="Times New Roman"/>
                <w:b/>
                <w:sz w:val="26"/>
                <w:szCs w:val="26"/>
              </w:rPr>
              <w:br/>
            </w:r>
            <w:r w:rsidRPr="00E3009F">
              <w:rPr>
                <w:rFonts w:cs="Times New Roman"/>
                <w:b/>
                <w:sz w:val="26"/>
                <w:szCs w:val="26"/>
              </w:rPr>
              <w:t>Nghị quyết thay thế</w:t>
            </w:r>
          </w:p>
        </w:tc>
        <w:tc>
          <w:tcPr>
            <w:tcW w:w="1816" w:type="dxa"/>
            <w:vAlign w:val="center"/>
          </w:tcPr>
          <w:p w14:paraId="26733A4A" w14:textId="5DC1DA2D" w:rsidR="0039328D" w:rsidRPr="00E3009F" w:rsidRDefault="0039328D" w:rsidP="00406205">
            <w:pPr>
              <w:spacing w:line="240" w:lineRule="atLeast"/>
              <w:jc w:val="center"/>
              <w:rPr>
                <w:rFonts w:cs="Times New Roman"/>
                <w:b/>
                <w:sz w:val="26"/>
                <w:szCs w:val="26"/>
              </w:rPr>
            </w:pPr>
            <w:r w:rsidRPr="00E3009F">
              <w:rPr>
                <w:rFonts w:cs="Times New Roman"/>
                <w:b/>
                <w:sz w:val="26"/>
                <w:szCs w:val="26"/>
              </w:rPr>
              <w:t>Thuyết minh</w:t>
            </w:r>
          </w:p>
        </w:tc>
      </w:tr>
      <w:tr w:rsidR="00E3009F" w:rsidRPr="00E3009F" w14:paraId="5816BA4A" w14:textId="77777777" w:rsidTr="00A12262">
        <w:trPr>
          <w:trHeight w:val="475"/>
          <w:jc w:val="center"/>
        </w:trPr>
        <w:tc>
          <w:tcPr>
            <w:tcW w:w="851" w:type="dxa"/>
          </w:tcPr>
          <w:p w14:paraId="3C8BDA87" w14:textId="77777777" w:rsidR="00962FDD" w:rsidRPr="00E3009F" w:rsidRDefault="00962FDD" w:rsidP="00A12262">
            <w:pPr>
              <w:spacing w:line="240" w:lineRule="atLeast"/>
              <w:jc w:val="both"/>
              <w:rPr>
                <w:rFonts w:cs="Times New Roman"/>
                <w:b/>
                <w:sz w:val="26"/>
                <w:szCs w:val="26"/>
              </w:rPr>
            </w:pPr>
          </w:p>
          <w:p w14:paraId="7DCEE782" w14:textId="5C4B5305" w:rsidR="00962FDD" w:rsidRPr="00E3009F" w:rsidRDefault="00962FDD" w:rsidP="00A12262">
            <w:pPr>
              <w:spacing w:line="240" w:lineRule="atLeast"/>
              <w:jc w:val="both"/>
              <w:rPr>
                <w:rFonts w:cs="Times New Roman"/>
                <w:sz w:val="26"/>
                <w:szCs w:val="26"/>
              </w:rPr>
            </w:pPr>
            <w:r w:rsidRPr="00E3009F">
              <w:rPr>
                <w:rFonts w:cs="Times New Roman"/>
                <w:sz w:val="26"/>
                <w:szCs w:val="26"/>
              </w:rPr>
              <w:t>1</w:t>
            </w:r>
          </w:p>
        </w:tc>
        <w:tc>
          <w:tcPr>
            <w:tcW w:w="1573" w:type="dxa"/>
          </w:tcPr>
          <w:p w14:paraId="7CA6F83B" w14:textId="0A290E9A" w:rsidR="00962FDD" w:rsidRPr="00E3009F" w:rsidRDefault="00962FDD" w:rsidP="00A12262">
            <w:pPr>
              <w:spacing w:line="240" w:lineRule="atLeast"/>
              <w:jc w:val="both"/>
              <w:rPr>
                <w:rFonts w:cs="Times New Roman"/>
                <w:spacing w:val="-6"/>
                <w:sz w:val="26"/>
                <w:szCs w:val="26"/>
              </w:rPr>
            </w:pPr>
            <w:r w:rsidRPr="00E3009F">
              <w:rPr>
                <w:rFonts w:cs="Times New Roman"/>
                <w:sz w:val="26"/>
                <w:szCs w:val="26"/>
              </w:rPr>
              <w:t xml:space="preserve">Phạm vi điều chỉnh </w:t>
            </w:r>
          </w:p>
        </w:tc>
        <w:tc>
          <w:tcPr>
            <w:tcW w:w="3550" w:type="dxa"/>
          </w:tcPr>
          <w:p w14:paraId="35718606" w14:textId="77777777" w:rsidR="00962FDD" w:rsidRPr="00E3009F" w:rsidRDefault="00962FDD" w:rsidP="00A12262">
            <w:pPr>
              <w:spacing w:line="240" w:lineRule="atLeast"/>
              <w:jc w:val="both"/>
              <w:rPr>
                <w:rFonts w:cs="Times New Roman"/>
                <w:spacing w:val="-6"/>
                <w:sz w:val="26"/>
                <w:szCs w:val="26"/>
              </w:rPr>
            </w:pPr>
            <w:r w:rsidRPr="00E3009F">
              <w:rPr>
                <w:rFonts w:cs="Times New Roman"/>
                <w:spacing w:val="-6"/>
                <w:sz w:val="26"/>
                <w:szCs w:val="26"/>
              </w:rPr>
              <w:t>Điều 1: Phạm vi điều chỉnh và đối tượng áp dụng</w:t>
            </w:r>
          </w:p>
          <w:p w14:paraId="76E740D7" w14:textId="6EC5983F"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1. Thông tư này quy định việc lập dự toán, quản lý, sử dụng và quyết toán kinh phí ngân sách nhà nước, bao gồm kinh phí sự nghiệp và kinh phí đầu tư phát triển, trong lĩnh vực khoa học, công nghệ, đổi mới sáng tạo và chuyển đổi số cho hoạt động tiêu chuẩn, hoạt động quy chuẩn kỹ thuật được quy định tại </w:t>
            </w:r>
            <w:bookmarkStart w:id="0" w:name="dc_1"/>
            <w:r w:rsidRPr="00E3009F">
              <w:rPr>
                <w:sz w:val="26"/>
                <w:szCs w:val="26"/>
              </w:rPr>
              <w:t>khoản 1 Điều 6 Nghị định số 22/2026/NĐ-CP</w:t>
            </w:r>
            <w:bookmarkEnd w:id="0"/>
            <w:r w:rsidRPr="00E3009F">
              <w:rPr>
                <w:sz w:val="26"/>
                <w:szCs w:val="26"/>
              </w:rPr>
              <w:t xml:space="preserve"> ngày 16 tháng 01 năm 2026 của Chính phủ quy định chi tiết một số điều và biện pháp để tổ chức, hướng dẫn thi </w:t>
            </w:r>
            <w:r w:rsidRPr="00E3009F">
              <w:rPr>
                <w:sz w:val="26"/>
                <w:szCs w:val="26"/>
              </w:rPr>
              <w:lastRenderedPageBreak/>
              <w:t>hành </w:t>
            </w:r>
            <w:bookmarkStart w:id="1" w:name="tvpllink_bfkweebicf_2"/>
            <w:r w:rsidRPr="00E3009F">
              <w:rPr>
                <w:sz w:val="26"/>
                <w:szCs w:val="26"/>
              </w:rPr>
              <w:t>Luật Tiêu chuẩn và quy chuẩn kỹ thuật</w:t>
            </w:r>
            <w:bookmarkEnd w:id="1"/>
            <w:r w:rsidRPr="00E3009F">
              <w:rPr>
                <w:sz w:val="26"/>
                <w:szCs w:val="26"/>
              </w:rPr>
              <w:t>.</w:t>
            </w:r>
          </w:p>
          <w:p w14:paraId="20AF78C2" w14:textId="77777777"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2. Thông tư này không điều chỉnh việc lập dự toán, quản lý, sử dụng và quyết toán kinh phí ngân sách nhà nước để tổ chức thẩm định dự thảo văn bản quy phạm pháp luật ban hành quy chuẩn kỹ thuật.</w:t>
            </w:r>
          </w:p>
          <w:p w14:paraId="059454C0" w14:textId="1237DBB7"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Việc lập dự toán, quản lý, sử dụng và quyết toán kinh phí ngân sách nhà nước để tổ chức thẩm định dự thảo văn bản quy phạm pháp luật ban hành quy chuẩn kỹ thuật thực hiện theo quy định của pháp luật về quản lý, sử dụng kinh phí xây dựng văn bản quy phạm pháp luật.</w:t>
            </w:r>
          </w:p>
        </w:tc>
        <w:tc>
          <w:tcPr>
            <w:tcW w:w="2872" w:type="dxa"/>
            <w:vMerge w:val="restart"/>
          </w:tcPr>
          <w:p w14:paraId="5154F949" w14:textId="005994C4" w:rsidR="00962FDD" w:rsidRPr="00E3009F" w:rsidRDefault="00962FDD" w:rsidP="00A12262">
            <w:pPr>
              <w:spacing w:line="240" w:lineRule="atLeast"/>
              <w:jc w:val="both"/>
              <w:rPr>
                <w:rFonts w:cs="Times New Roman"/>
                <w:spacing w:val="-6"/>
                <w:sz w:val="26"/>
                <w:szCs w:val="26"/>
              </w:rPr>
            </w:pPr>
            <w:r w:rsidRPr="00E3009F">
              <w:rPr>
                <w:rFonts w:cs="Times New Roman"/>
                <w:spacing w:val="-6"/>
                <w:sz w:val="26"/>
                <w:szCs w:val="26"/>
              </w:rPr>
              <w:lastRenderedPageBreak/>
              <w:t>Điều 1: Phạm vi điều chỉnh, đối tượng áp dụng</w:t>
            </w:r>
          </w:p>
          <w:p w14:paraId="43EC461A" w14:textId="77777777" w:rsidR="00962FDD" w:rsidRPr="00E3009F" w:rsidRDefault="00962FDD" w:rsidP="00A12262">
            <w:pPr>
              <w:spacing w:line="240" w:lineRule="atLeast"/>
              <w:jc w:val="both"/>
              <w:rPr>
                <w:rFonts w:cs="Times New Roman"/>
                <w:spacing w:val="-6"/>
                <w:sz w:val="26"/>
                <w:szCs w:val="26"/>
              </w:rPr>
            </w:pPr>
            <w:r w:rsidRPr="00E3009F">
              <w:rPr>
                <w:rFonts w:cs="Times New Roman"/>
                <w:spacing w:val="-6"/>
                <w:sz w:val="26"/>
                <w:szCs w:val="26"/>
              </w:rPr>
              <w:t>1. Phạm vi điều chỉnh</w:t>
            </w:r>
          </w:p>
          <w:p w14:paraId="5A4A3274" w14:textId="0BD46CFA" w:rsidR="00962FDD" w:rsidRPr="00E3009F" w:rsidRDefault="00962FDD" w:rsidP="00A12262">
            <w:pPr>
              <w:spacing w:line="240" w:lineRule="atLeast"/>
              <w:jc w:val="both"/>
              <w:rPr>
                <w:rFonts w:cs="Times New Roman"/>
                <w:i/>
                <w:spacing w:val="-6"/>
                <w:sz w:val="26"/>
                <w:szCs w:val="26"/>
              </w:rPr>
            </w:pPr>
            <w:r w:rsidRPr="00E3009F">
              <w:rPr>
                <w:rFonts w:cs="Times New Roman"/>
                <w:spacing w:val="-6"/>
                <w:sz w:val="26"/>
                <w:szCs w:val="26"/>
              </w:rPr>
              <w:t xml:space="preserve">Nghị quyết này quy định mức chi xây dựng quy chuẩn kỹ thuật địa phương </w:t>
            </w:r>
            <w:r w:rsidRPr="00E3009F">
              <w:rPr>
                <w:rFonts w:cs="Times New Roman"/>
                <w:i/>
                <w:spacing w:val="-6"/>
                <w:sz w:val="26"/>
                <w:szCs w:val="26"/>
              </w:rPr>
              <w:t xml:space="preserve">(viết tắt là QCĐP) </w:t>
            </w:r>
            <w:r w:rsidRPr="00E3009F">
              <w:rPr>
                <w:rFonts w:cs="Times New Roman"/>
                <w:spacing w:val="-6"/>
                <w:sz w:val="26"/>
                <w:szCs w:val="26"/>
              </w:rPr>
              <w:t>trên địa bàn tỉnh Bắc Kạn</w:t>
            </w:r>
          </w:p>
          <w:p w14:paraId="6B7E7244" w14:textId="77777777" w:rsidR="00962FDD" w:rsidRPr="00E3009F" w:rsidRDefault="00962FDD" w:rsidP="00A12262">
            <w:pPr>
              <w:spacing w:line="240" w:lineRule="atLeast"/>
              <w:jc w:val="both"/>
              <w:rPr>
                <w:rFonts w:cs="Times New Roman"/>
                <w:spacing w:val="-6"/>
                <w:sz w:val="26"/>
                <w:szCs w:val="26"/>
              </w:rPr>
            </w:pPr>
            <w:r w:rsidRPr="00E3009F">
              <w:rPr>
                <w:rFonts w:cs="Times New Roman"/>
                <w:spacing w:val="-6"/>
                <w:sz w:val="26"/>
                <w:szCs w:val="26"/>
              </w:rPr>
              <w:t>2. Đối tượng áp dụng</w:t>
            </w:r>
          </w:p>
          <w:p w14:paraId="2683FA3B" w14:textId="07ACD0D7" w:rsidR="00962FDD" w:rsidRPr="00E3009F" w:rsidRDefault="00962FDD" w:rsidP="00A12262">
            <w:pPr>
              <w:spacing w:line="240" w:lineRule="atLeast"/>
              <w:jc w:val="both"/>
              <w:rPr>
                <w:rFonts w:cs="Times New Roman"/>
                <w:sz w:val="26"/>
                <w:szCs w:val="26"/>
              </w:rPr>
            </w:pPr>
            <w:r w:rsidRPr="00E3009F">
              <w:rPr>
                <w:rFonts w:cs="Times New Roman"/>
                <w:spacing w:val="-6"/>
                <w:sz w:val="26"/>
                <w:szCs w:val="26"/>
              </w:rPr>
              <w:t xml:space="preserve">Nghị quyết này áp dụng đối với các cơ quan quản lý nhà nước, các đơn vị sợ nghiệp công lập và các tổ chức, cá nhân có liên quan đến hoạt động xây dựng QCĐP theo quy định của Luật Tiêu chuẩn và Quy </w:t>
            </w:r>
            <w:r w:rsidRPr="00E3009F">
              <w:rPr>
                <w:rFonts w:cs="Times New Roman"/>
                <w:spacing w:val="-6"/>
                <w:sz w:val="26"/>
                <w:szCs w:val="26"/>
              </w:rPr>
              <w:lastRenderedPageBreak/>
              <w:t xml:space="preserve">chuẩn kỹ thuật. Cơ quan nhà nước khi xây dựng tiêu chuẩn cơ sở để áp dụng trong hoạt động của cơ quan đơn vị mình được áp dụng các mức chi có nội dung chi tương ứng tại Nghị quyết này  </w:t>
            </w:r>
          </w:p>
        </w:tc>
        <w:tc>
          <w:tcPr>
            <w:tcW w:w="1581" w:type="dxa"/>
            <w:vMerge w:val="restart"/>
          </w:tcPr>
          <w:p w14:paraId="302370EB" w14:textId="32D9E35F" w:rsidR="00962FDD" w:rsidRPr="00E3009F" w:rsidRDefault="00962FDD" w:rsidP="00A12262">
            <w:pPr>
              <w:spacing w:line="240" w:lineRule="atLeast"/>
              <w:jc w:val="both"/>
              <w:rPr>
                <w:rFonts w:cs="Times New Roman"/>
                <w:sz w:val="26"/>
                <w:szCs w:val="26"/>
              </w:rPr>
            </w:pPr>
            <w:r w:rsidRPr="00E3009F">
              <w:rPr>
                <w:rFonts w:cs="Times New Roman"/>
                <w:sz w:val="26"/>
                <w:szCs w:val="26"/>
              </w:rPr>
              <w:lastRenderedPageBreak/>
              <w:t>Không ban hành Nghị quyết quy định mức chi xây dựng quy chuẩn kỹ thuật địa phương trên địa bàn tỉnh Thái Nguyên</w:t>
            </w:r>
          </w:p>
        </w:tc>
        <w:tc>
          <w:tcPr>
            <w:tcW w:w="3119" w:type="dxa"/>
            <w:vMerge w:val="restart"/>
          </w:tcPr>
          <w:p w14:paraId="4B6AF254"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Điều 1. Phạm vi điều chỉnh và đối tượng áp dụng</w:t>
            </w:r>
          </w:p>
          <w:p w14:paraId="18C2CA75"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1. Phạm vi điều chỉnh</w:t>
            </w:r>
          </w:p>
          <w:p w14:paraId="03DDB36A"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Nghị quyết này quy định mức chi ngân sách nhà nước lĩnh vực khoa học, công nghệ, đổi mới sáng tạo và chuyển đổi số cho hoạt động tiêu chuẩn cơ sở (viết tắt là TCCS), hoạt động </w:t>
            </w:r>
            <w:r w:rsidRPr="00E3009F">
              <w:rPr>
                <w:rFonts w:cs="Times New Roman"/>
                <w:iCs/>
                <w:sz w:val="26"/>
                <w:szCs w:val="26"/>
              </w:rPr>
              <w:t>quy chuẩn kỹ thuật địa phương</w:t>
            </w:r>
            <w:r w:rsidRPr="00E3009F">
              <w:rPr>
                <w:rFonts w:cs="Times New Roman"/>
                <w:sz w:val="26"/>
                <w:szCs w:val="26"/>
              </w:rPr>
              <w:t xml:space="preserve"> (viết tắt là QCĐP) trên địa bàn tỉnh Thái Nguyên.</w:t>
            </w:r>
          </w:p>
          <w:p w14:paraId="6B38A9DE"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2. Đối tượng áp dụng</w:t>
            </w:r>
          </w:p>
          <w:p w14:paraId="5AAFA5C9" w14:textId="74810013" w:rsidR="00962FDD" w:rsidRPr="00E3009F" w:rsidRDefault="00BE569E" w:rsidP="00A12262">
            <w:pPr>
              <w:spacing w:line="240" w:lineRule="atLeast"/>
              <w:jc w:val="both"/>
              <w:rPr>
                <w:rFonts w:cs="Times New Roman"/>
                <w:spacing w:val="-6"/>
                <w:sz w:val="26"/>
                <w:szCs w:val="26"/>
              </w:rPr>
            </w:pPr>
            <w:r w:rsidRPr="00E3009F">
              <w:rPr>
                <w:rFonts w:cs="Times New Roman"/>
                <w:sz w:val="26"/>
                <w:szCs w:val="26"/>
              </w:rPr>
              <w:t xml:space="preserve">Nghị quyết này áp dụng đối với các cơ quan nhà nước; các đơn vị sự nghiệp công </w:t>
            </w:r>
            <w:r w:rsidRPr="00E3009F">
              <w:rPr>
                <w:rFonts w:cs="Times New Roman"/>
                <w:sz w:val="26"/>
                <w:szCs w:val="26"/>
              </w:rPr>
              <w:lastRenderedPageBreak/>
              <w:t>lập, bao gồm cả tổ chức khoa học và công nghệ công lập; các cơ quan, đơn vị, tổ chức, doanh nghiệp và cá nhân có liên quan đến hoạt động TCCS, hoạt động QCĐP trên địa bàn tỉnh Thái Nguyên theo quy định.</w:t>
            </w:r>
          </w:p>
        </w:tc>
        <w:tc>
          <w:tcPr>
            <w:tcW w:w="1816" w:type="dxa"/>
          </w:tcPr>
          <w:p w14:paraId="1F77F5A0" w14:textId="53D04291" w:rsidR="00962FDD" w:rsidRPr="00E3009F" w:rsidRDefault="00962FDD" w:rsidP="00406205">
            <w:pPr>
              <w:spacing w:line="240" w:lineRule="atLeast"/>
              <w:jc w:val="both"/>
              <w:rPr>
                <w:rFonts w:cs="Times New Roman"/>
                <w:sz w:val="26"/>
                <w:szCs w:val="26"/>
              </w:rPr>
            </w:pPr>
            <w:r w:rsidRPr="00E3009F">
              <w:rPr>
                <w:rFonts w:cs="Times New Roman"/>
                <w:sz w:val="26"/>
                <w:szCs w:val="26"/>
              </w:rPr>
              <w:lastRenderedPageBreak/>
              <w:t>Căn cứ khoản 8 Điều 3 Thông tư số 23/2026/TT-BKHCN ngày 28/5/2026</w:t>
            </w:r>
          </w:p>
        </w:tc>
      </w:tr>
      <w:tr w:rsidR="00E3009F" w:rsidRPr="00E3009F" w14:paraId="2EEF29E6" w14:textId="77777777" w:rsidTr="00A12262">
        <w:trPr>
          <w:trHeight w:val="337"/>
          <w:jc w:val="center"/>
        </w:trPr>
        <w:tc>
          <w:tcPr>
            <w:tcW w:w="851" w:type="dxa"/>
          </w:tcPr>
          <w:p w14:paraId="63C3AA63" w14:textId="3E900F28" w:rsidR="00962FDD" w:rsidRPr="00E3009F" w:rsidRDefault="00962FDD" w:rsidP="00A12262">
            <w:pPr>
              <w:spacing w:line="240" w:lineRule="atLeast"/>
              <w:jc w:val="both"/>
              <w:rPr>
                <w:rFonts w:cs="Times New Roman"/>
                <w:sz w:val="26"/>
                <w:szCs w:val="26"/>
              </w:rPr>
            </w:pPr>
            <w:r w:rsidRPr="00E3009F">
              <w:rPr>
                <w:rFonts w:cs="Times New Roman"/>
                <w:sz w:val="26"/>
                <w:szCs w:val="26"/>
              </w:rPr>
              <w:t>2</w:t>
            </w:r>
          </w:p>
        </w:tc>
        <w:tc>
          <w:tcPr>
            <w:tcW w:w="1573" w:type="dxa"/>
          </w:tcPr>
          <w:p w14:paraId="646C8522" w14:textId="1A475B8E" w:rsidR="00962FDD" w:rsidRPr="00E3009F" w:rsidRDefault="00962FDD" w:rsidP="00A12262">
            <w:pPr>
              <w:spacing w:line="240" w:lineRule="atLeast"/>
              <w:jc w:val="both"/>
              <w:rPr>
                <w:rFonts w:cs="Times New Roman"/>
                <w:sz w:val="26"/>
                <w:szCs w:val="26"/>
              </w:rPr>
            </w:pPr>
            <w:r w:rsidRPr="00E3009F">
              <w:rPr>
                <w:rFonts w:cs="Times New Roman"/>
                <w:sz w:val="26"/>
                <w:szCs w:val="26"/>
              </w:rPr>
              <w:t>Đối tượng áp dụng</w:t>
            </w:r>
          </w:p>
        </w:tc>
        <w:tc>
          <w:tcPr>
            <w:tcW w:w="3550" w:type="dxa"/>
          </w:tcPr>
          <w:p w14:paraId="2ABB823C" w14:textId="77777777" w:rsidR="00962FDD" w:rsidRPr="00E3009F" w:rsidRDefault="00962FDD" w:rsidP="00A12262">
            <w:pPr>
              <w:pStyle w:val="ThngthngWeb"/>
              <w:shd w:val="clear" w:color="auto" w:fill="FFFFFF"/>
              <w:spacing w:before="0" w:beforeAutospacing="0" w:after="0" w:afterAutospacing="0" w:line="240" w:lineRule="atLeast"/>
              <w:jc w:val="both"/>
              <w:rPr>
                <w:spacing w:val="-6"/>
                <w:sz w:val="26"/>
                <w:szCs w:val="26"/>
                <w:lang w:val="en-US"/>
              </w:rPr>
            </w:pPr>
            <w:r w:rsidRPr="00E3009F">
              <w:rPr>
                <w:spacing w:val="-6"/>
                <w:sz w:val="26"/>
                <w:szCs w:val="26"/>
                <w:lang w:val="en-US"/>
              </w:rPr>
              <w:t xml:space="preserve">Điều </w:t>
            </w:r>
            <w:r w:rsidRPr="00E3009F">
              <w:rPr>
                <w:spacing w:val="-6"/>
                <w:sz w:val="26"/>
                <w:szCs w:val="26"/>
              </w:rPr>
              <w:t xml:space="preserve">2. Đối tượng áp dụng: </w:t>
            </w:r>
          </w:p>
          <w:p w14:paraId="41916AA7" w14:textId="767FEEDE"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1. Các Bộ, cơ quan ngang Bộ, cơ quan thuộc Chính phủ (sau đây gọi tắt là bộ và cơ quan trung ương), Ủy ban nhân dân các tỉnh, thành phố (sau đây gọi tắt là Ủy ban nhân dân cấp tỉnh).</w:t>
            </w:r>
          </w:p>
          <w:p w14:paraId="02B56CED" w14:textId="77777777"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lastRenderedPageBreak/>
              <w:t>2. Đơn vị sự nghiệp công lập, bao gồm cả tổ chức khoa học và công nghệ công lập.</w:t>
            </w:r>
          </w:p>
          <w:p w14:paraId="323C679B" w14:textId="052074ED" w:rsidR="00962FDD" w:rsidRPr="00E3009F" w:rsidRDefault="00962FDD" w:rsidP="00A12262">
            <w:pPr>
              <w:spacing w:line="240" w:lineRule="atLeast"/>
              <w:jc w:val="both"/>
              <w:rPr>
                <w:rFonts w:cs="Times New Roman"/>
                <w:sz w:val="26"/>
                <w:szCs w:val="26"/>
              </w:rPr>
            </w:pPr>
            <w:r w:rsidRPr="00E3009F">
              <w:rPr>
                <w:rFonts w:cs="Times New Roman"/>
                <w:sz w:val="26"/>
                <w:szCs w:val="26"/>
              </w:rPr>
              <w:t>3. Các cơ quan, đơn vị, tổ chức, doanh nghiệp và cá nhân có liên quan đến hoạt động tiêu chuẩn, hoạt động quy chuẩn kỹ thuật theo quy định tại khoản 1 Điều 6 Nghị định số 22/2026/NĐ-CP.</w:t>
            </w:r>
          </w:p>
        </w:tc>
        <w:tc>
          <w:tcPr>
            <w:tcW w:w="2872" w:type="dxa"/>
            <w:vMerge/>
          </w:tcPr>
          <w:p w14:paraId="525F819F" w14:textId="77777777" w:rsidR="00962FDD" w:rsidRPr="00E3009F" w:rsidRDefault="00962FDD" w:rsidP="00A12262">
            <w:pPr>
              <w:spacing w:line="240" w:lineRule="atLeast"/>
              <w:jc w:val="both"/>
              <w:rPr>
                <w:rFonts w:cs="Times New Roman"/>
                <w:spacing w:val="-6"/>
                <w:sz w:val="26"/>
                <w:szCs w:val="26"/>
              </w:rPr>
            </w:pPr>
          </w:p>
        </w:tc>
        <w:tc>
          <w:tcPr>
            <w:tcW w:w="1581" w:type="dxa"/>
            <w:vMerge/>
          </w:tcPr>
          <w:p w14:paraId="34FC8236" w14:textId="77777777" w:rsidR="00962FDD" w:rsidRPr="00E3009F" w:rsidRDefault="00962FDD" w:rsidP="00A12262">
            <w:pPr>
              <w:spacing w:line="240" w:lineRule="atLeast"/>
              <w:jc w:val="both"/>
              <w:rPr>
                <w:rFonts w:cs="Times New Roman"/>
                <w:sz w:val="26"/>
                <w:szCs w:val="26"/>
              </w:rPr>
            </w:pPr>
          </w:p>
        </w:tc>
        <w:tc>
          <w:tcPr>
            <w:tcW w:w="3119" w:type="dxa"/>
            <w:vMerge/>
          </w:tcPr>
          <w:p w14:paraId="561C161A" w14:textId="77777777" w:rsidR="00962FDD" w:rsidRPr="00E3009F" w:rsidRDefault="00962FDD" w:rsidP="00A12262">
            <w:pPr>
              <w:spacing w:line="240" w:lineRule="atLeast"/>
              <w:jc w:val="both"/>
              <w:rPr>
                <w:rFonts w:cs="Times New Roman"/>
                <w:b/>
                <w:sz w:val="26"/>
                <w:szCs w:val="26"/>
              </w:rPr>
            </w:pPr>
          </w:p>
        </w:tc>
        <w:tc>
          <w:tcPr>
            <w:tcW w:w="1816" w:type="dxa"/>
          </w:tcPr>
          <w:p w14:paraId="0E88BE09" w14:textId="77777777" w:rsidR="00962FDD" w:rsidRPr="00E3009F" w:rsidRDefault="00962FDD" w:rsidP="00406205">
            <w:pPr>
              <w:spacing w:line="240" w:lineRule="atLeast"/>
              <w:jc w:val="both"/>
              <w:rPr>
                <w:rFonts w:cs="Times New Roman"/>
                <w:sz w:val="26"/>
                <w:szCs w:val="26"/>
              </w:rPr>
            </w:pPr>
          </w:p>
        </w:tc>
      </w:tr>
      <w:tr w:rsidR="00E3009F" w:rsidRPr="00E3009F" w14:paraId="098833F3" w14:textId="77777777" w:rsidTr="00A12262">
        <w:trPr>
          <w:trHeight w:val="337"/>
          <w:jc w:val="center"/>
        </w:trPr>
        <w:tc>
          <w:tcPr>
            <w:tcW w:w="851" w:type="dxa"/>
          </w:tcPr>
          <w:p w14:paraId="34DFE0AB" w14:textId="68FE6400" w:rsidR="00136083" w:rsidRPr="00E3009F" w:rsidRDefault="00962FDD" w:rsidP="00A12262">
            <w:pPr>
              <w:spacing w:line="240" w:lineRule="atLeast"/>
              <w:jc w:val="both"/>
              <w:rPr>
                <w:rFonts w:cs="Times New Roman"/>
                <w:sz w:val="26"/>
                <w:szCs w:val="26"/>
              </w:rPr>
            </w:pPr>
            <w:r w:rsidRPr="00E3009F">
              <w:rPr>
                <w:rFonts w:cs="Times New Roman"/>
                <w:sz w:val="26"/>
                <w:szCs w:val="26"/>
              </w:rPr>
              <w:t>3</w:t>
            </w:r>
          </w:p>
        </w:tc>
        <w:tc>
          <w:tcPr>
            <w:tcW w:w="1573" w:type="dxa"/>
          </w:tcPr>
          <w:p w14:paraId="0BBADB63" w14:textId="0E2338E5" w:rsidR="00136083" w:rsidRPr="00E3009F" w:rsidRDefault="002E746E" w:rsidP="00A12262">
            <w:pPr>
              <w:spacing w:line="240" w:lineRule="atLeast"/>
              <w:jc w:val="both"/>
              <w:rPr>
                <w:rFonts w:cs="Times New Roman"/>
                <w:sz w:val="26"/>
                <w:szCs w:val="26"/>
              </w:rPr>
            </w:pPr>
            <w:r w:rsidRPr="00E3009F">
              <w:rPr>
                <w:rFonts w:cs="Times New Roman"/>
                <w:sz w:val="26"/>
                <w:szCs w:val="26"/>
              </w:rPr>
              <w:t>Nguyên tắc áp dụng</w:t>
            </w:r>
          </w:p>
        </w:tc>
        <w:tc>
          <w:tcPr>
            <w:tcW w:w="3550" w:type="dxa"/>
          </w:tcPr>
          <w:p w14:paraId="400F1E17" w14:textId="7C09337D"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bookmarkStart w:id="2" w:name="dieu_3"/>
            <w:r w:rsidRPr="00E3009F">
              <w:rPr>
                <w:bCs/>
                <w:sz w:val="26"/>
                <w:szCs w:val="26"/>
              </w:rPr>
              <w:t>Điều 3. Nguyên tắc lập dự toán, quản lý, sử dụng và quyết toán kinh phí ngân sách nhà nước lĩnh vực khoa học, công nghệ, đổi mới sáng tạo và chuyển đổi số cho hoạt động tiêu chuẩn, hoạt động quy chuẩn kỹ thuật</w:t>
            </w:r>
            <w:bookmarkEnd w:id="2"/>
          </w:p>
          <w:p w14:paraId="1F023545" w14:textId="77777777"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1. Việc lập dự toán, phân bổ, quản lý và sử dụng kinh phí phải gắn với hoạt động, nhiệm vụ về tiêu chuẩn, quy chuẩn kỹ thuật đã được cấp có thẩm quyền phê duyệt; đáp ứng yêu cầu phục vụ quản lý nhà nước, thúc đẩy hội nhập quốc tế và phát triển kinh tế - xã hội.</w:t>
            </w:r>
          </w:p>
          <w:p w14:paraId="32C25489" w14:textId="77777777"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2. Việc quản lý, sử dụng kinh phí phải tuân thủ quy định của </w:t>
            </w:r>
            <w:r w:rsidRPr="00E3009F">
              <w:rPr>
                <w:sz w:val="26"/>
                <w:szCs w:val="26"/>
              </w:rPr>
              <w:lastRenderedPageBreak/>
              <w:t>pháp luật, bảo đảm đúng mục đích, đúng đối tượng, đúng nội dung chi và trong phạm vi dự toán được cấp có thẩm quyền phê duyệt.</w:t>
            </w:r>
          </w:p>
          <w:p w14:paraId="6431D5A6" w14:textId="77777777"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3. Trường hợp hoạt động tiêu chuẩn, hoạt động quy chuẩn kỹ thuật thực hiện theo phương thức nhiệm vụ khoa học, công nghệ và đổi mới sáng tạo, việc lập dự toán, quản lý, sử dụng và quyết toán kinh phí thực hiện theo quy định tại Thông tư số </w:t>
            </w:r>
            <w:bookmarkStart w:id="3" w:name="tvpllink_uvgkgpnyyv"/>
            <w:r w:rsidRPr="00E3009F">
              <w:rPr>
                <w:sz w:val="26"/>
                <w:szCs w:val="26"/>
              </w:rPr>
              <w:fldChar w:fldCharType="begin"/>
            </w:r>
            <w:r w:rsidRPr="00E3009F">
              <w:rPr>
                <w:sz w:val="26"/>
                <w:szCs w:val="26"/>
              </w:rPr>
              <w:instrText xml:space="preserve"> HYPERLINK "https://thuvienphapluat.vn/van-ban/Tai-chinh-nha-nuoc/Thong-tu-38-2025-TT-BKHCN-lap-du-toan-chi-quan-ly-hoat-dong-khoa-hoc-cong-nghe-va-doi-moi-sang-tao-687143.aspx" \t "_blank" </w:instrText>
            </w:r>
            <w:r w:rsidRPr="00E3009F">
              <w:rPr>
                <w:sz w:val="26"/>
                <w:szCs w:val="26"/>
              </w:rPr>
              <w:fldChar w:fldCharType="separate"/>
            </w:r>
            <w:r w:rsidRPr="00E3009F">
              <w:rPr>
                <w:rStyle w:val="Siuktni"/>
                <w:color w:val="auto"/>
                <w:sz w:val="26"/>
                <w:szCs w:val="26"/>
                <w:u w:val="none"/>
              </w:rPr>
              <w:t>38/2025/TT-BKHCN</w:t>
            </w:r>
            <w:r w:rsidRPr="00E3009F">
              <w:rPr>
                <w:sz w:val="26"/>
                <w:szCs w:val="26"/>
              </w:rPr>
              <w:fldChar w:fldCharType="end"/>
            </w:r>
            <w:bookmarkEnd w:id="3"/>
            <w:r w:rsidRPr="00E3009F">
              <w:rPr>
                <w:sz w:val="26"/>
                <w:szCs w:val="26"/>
              </w:rPr>
              <w:t> ngày 30 tháng 11 năm 2025 của Bộ trưởng Bộ Khoa học và Công nghệ quy định về lập dự toán, quản lý sử dụng và quyết toán kinh phí ngân sách nhà nước đối với một số nội dung chi quản lý hoạt động khoa học, công nghệ và đổi mới sáng tạo, Thông tư số </w:t>
            </w:r>
            <w:bookmarkStart w:id="4" w:name="tvpllink_hujhzuvcdx"/>
            <w:r w:rsidRPr="00E3009F">
              <w:rPr>
                <w:sz w:val="26"/>
                <w:szCs w:val="26"/>
              </w:rPr>
              <w:fldChar w:fldCharType="begin"/>
            </w:r>
            <w:r w:rsidRPr="00E3009F">
              <w:rPr>
                <w:sz w:val="26"/>
                <w:szCs w:val="26"/>
              </w:rPr>
              <w:instrText xml:space="preserve"> HYPERLINK "https://thuvienphapluat.vn/van-ban/Tai-chinh-nha-nuoc/Thong-tu-39-2025-TT-BKHCN-lap-du-toan-chi-ngan-sach-nha-nuoc-thuc-hien-nhiem-vu-khoa-hoc-687144.aspx" \t "_blank" </w:instrText>
            </w:r>
            <w:r w:rsidRPr="00E3009F">
              <w:rPr>
                <w:sz w:val="26"/>
                <w:szCs w:val="26"/>
              </w:rPr>
              <w:fldChar w:fldCharType="separate"/>
            </w:r>
            <w:r w:rsidRPr="00E3009F">
              <w:rPr>
                <w:rStyle w:val="Siuktni"/>
                <w:color w:val="auto"/>
                <w:sz w:val="26"/>
                <w:szCs w:val="26"/>
                <w:u w:val="none"/>
              </w:rPr>
              <w:t>39/2025/TT-BKHCN</w:t>
            </w:r>
            <w:r w:rsidRPr="00E3009F">
              <w:rPr>
                <w:sz w:val="26"/>
                <w:szCs w:val="26"/>
              </w:rPr>
              <w:fldChar w:fldCharType="end"/>
            </w:r>
            <w:bookmarkEnd w:id="4"/>
            <w:r w:rsidRPr="00E3009F">
              <w:rPr>
                <w:sz w:val="26"/>
                <w:szCs w:val="26"/>
              </w:rPr>
              <w:t xml:space="preserve"> ngày 30 tháng 11 năm 2025 của Bộ trưởng Bộ Khoa học và Công nghệ quy định chi tiết và hướng dẫn về lập dự toán, quản lý sử </w:t>
            </w:r>
            <w:r w:rsidRPr="00E3009F">
              <w:rPr>
                <w:sz w:val="26"/>
                <w:szCs w:val="26"/>
              </w:rPr>
              <w:lastRenderedPageBreak/>
              <w:t>dụng và quyết toán một số nội dung chi ngân sách nhà nước thực hiện nhiệm vụ khoa học, công nghệ và đổi mới sáng tạo và các quy định có liên quan tại Thông tư này.</w:t>
            </w:r>
          </w:p>
          <w:p w14:paraId="66DE1EE3" w14:textId="77777777"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4. Kinh phí ngân sách nhà nước được quản lý, sử dụng theo nguyên tắc tiết kiệm, hiệu quả, ưu tiên nhiệm vụ trọng tâm, cấp thiết; bảo đảm không trùng lặp nội dung chi cho cùng một hoạt động, nhiệm vụ.</w:t>
            </w:r>
          </w:p>
          <w:p w14:paraId="7253E5A5" w14:textId="77777777"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5. Việc lập dự toán, quản lý, sử dụng và quyết toán kinh phí phải bảo đảm công khai, minh bạch, có kiểm tra, giám sát; gắn với trách nhiệm của cơ quan, tổ chức, cá nhân được giao quản lý, sử dụng kinh phí theo quy định của pháp luật. Riêng đối với hoạt động tiêu chuẩn, hoạt động quy chuẩn kỹ thuật thuộc lĩnh vực bí mật nhà nước thì việc quản lý, sử dụng kinh phí cho hoạt động này thực hiện theo </w:t>
            </w:r>
            <w:r w:rsidRPr="00E3009F">
              <w:rPr>
                <w:sz w:val="26"/>
                <w:szCs w:val="26"/>
              </w:rPr>
              <w:lastRenderedPageBreak/>
              <w:t>quy định pháp luật về bảo vệ bí mật nhà nước.</w:t>
            </w:r>
          </w:p>
          <w:p w14:paraId="179DDC76" w14:textId="77777777"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6. Thực hiện phân cấp, phân quyền trong quản lý, sử dụng kinh phí phù hợp với thẩm quyền và phân cấp ngân sách nhà nước; đồng thời bảo đảm trách nhiệm giải trình của cơ quan, tổ chức, cá nhân được giao quản lý, sử dụng kinh phí.</w:t>
            </w:r>
          </w:p>
          <w:p w14:paraId="1E1F558A" w14:textId="77777777"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7. Khuyến khích huy động, sử dụng hiệu quả các nguồn lực hợp pháp khác cho hoạt động tiêu chuẩn, hoạt động quy chuẩn kỹ thuật.</w:t>
            </w:r>
          </w:p>
          <w:p w14:paraId="33214B3A" w14:textId="77777777"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8. Định mức chi kinh phí ngân sách nhà nước quy định tại Thông tư này là định mức tối đa. Căn cứ định mức chi tại Thông tư này, Hội đồng nhân dân cấp tỉnh hoặc Ủy ban nhân dân cấp tỉnh trong trường hợp được Hội đồng nhân dân cấp tỉnh giao thẩm quyền quyết định mức chi ngân sách nhà nước lĩnh vực khoa học, công nghệ, đổi mới sáng tạo và chuyển đổi số cho </w:t>
            </w:r>
            <w:r w:rsidRPr="00E3009F">
              <w:rPr>
                <w:sz w:val="26"/>
                <w:szCs w:val="26"/>
              </w:rPr>
              <w:lastRenderedPageBreak/>
              <w:t>hoạt động tiêu chuẩn, hoạt động quy chuẩn kỹ thuật thuộc phạm vi quản lý, bảo đảm phù hợp với đặc thù hoạt động tiêu chuẩn, hoạt động quy chuẩn kỹ thuật của địa phương và khả năng cân đối ngân sách được giao.</w:t>
            </w:r>
          </w:p>
          <w:p w14:paraId="1F4FBD79" w14:textId="77777777" w:rsidR="00962FDD"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9. Việc lập dự toán, quản lý, sử dụng và quyết toán kinh phí ngân sách nhà nước lĩnh vực khoa học, công nghệ, đổi mới sáng tạo và chuyển đổi số cho hoạt động tiêu chuẩn, hoạt động quy chuẩn kỹ thuật sử dụng nguồn vốn đầu tư phát triển phải tuân thủ quy định pháp luật về đầu tư công và quy định pháp luật hiện hành có liên quan.</w:t>
            </w:r>
          </w:p>
          <w:p w14:paraId="1A7F2196" w14:textId="03B96FF8" w:rsidR="002E746E" w:rsidRPr="00E3009F" w:rsidRDefault="00962FD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10. Các khoản kinh phí tài trợ, hỗ trợ của tổ chức, cá nhân phục vụ cho hoạt động tiêu chuẩn, hoạt động quy chuẩn kỹ thuật được thực hiện theo thỏa thuận với nhà tài trợ, hỗ trợ. Trường hợp không có thỏa thuận cụ thể với nhà tài trợ, hỗ trợ thì thực </w:t>
            </w:r>
            <w:r w:rsidRPr="00E3009F">
              <w:rPr>
                <w:sz w:val="26"/>
                <w:szCs w:val="26"/>
              </w:rPr>
              <w:lastRenderedPageBreak/>
              <w:t>hiện theo quy định tại Thông tư này.</w:t>
            </w:r>
          </w:p>
        </w:tc>
        <w:tc>
          <w:tcPr>
            <w:tcW w:w="2872" w:type="dxa"/>
          </w:tcPr>
          <w:p w14:paraId="1A3828F3" w14:textId="44DB1078" w:rsidR="00136083" w:rsidRPr="00E3009F" w:rsidRDefault="002E746E" w:rsidP="00A12262">
            <w:pPr>
              <w:spacing w:line="240" w:lineRule="atLeast"/>
              <w:jc w:val="both"/>
              <w:rPr>
                <w:rFonts w:cs="Times New Roman"/>
                <w:spacing w:val="-6"/>
                <w:sz w:val="26"/>
                <w:szCs w:val="26"/>
              </w:rPr>
            </w:pPr>
            <w:r w:rsidRPr="00E3009F">
              <w:rPr>
                <w:rFonts w:cs="Times New Roman"/>
                <w:spacing w:val="-6"/>
                <w:sz w:val="26"/>
                <w:szCs w:val="26"/>
              </w:rPr>
              <w:lastRenderedPageBreak/>
              <w:t>-</w:t>
            </w:r>
          </w:p>
        </w:tc>
        <w:tc>
          <w:tcPr>
            <w:tcW w:w="1581" w:type="dxa"/>
          </w:tcPr>
          <w:p w14:paraId="7787A141" w14:textId="77777777" w:rsidR="00136083" w:rsidRPr="00E3009F" w:rsidRDefault="00136083" w:rsidP="00A12262">
            <w:pPr>
              <w:spacing w:line="240" w:lineRule="atLeast"/>
              <w:jc w:val="both"/>
              <w:rPr>
                <w:rFonts w:cs="Times New Roman"/>
                <w:sz w:val="26"/>
                <w:szCs w:val="26"/>
              </w:rPr>
            </w:pPr>
          </w:p>
        </w:tc>
        <w:tc>
          <w:tcPr>
            <w:tcW w:w="3119" w:type="dxa"/>
          </w:tcPr>
          <w:p w14:paraId="5B79D66B"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Điều 2. Nguyên tắc áp dụng</w:t>
            </w:r>
          </w:p>
          <w:p w14:paraId="6C23B3BD"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1. Các mức chi trong Nghị quyết này là mức tối đa, trong phạm vi dự toán ngân sách nhà nước lĩnh vực khoa học, công nghệ, đổi mới sáng tạo và chuyển đổi số được cấp có thẩm quyền giao cho cơ quan, đơn vị, tổ chức thực hiện hoạt động TCCS, hoạt động QCĐP cho phù hợp, bảo đảm hiệu quả.</w:t>
            </w:r>
          </w:p>
          <w:p w14:paraId="30B356F1"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2. </w:t>
            </w:r>
            <w:r w:rsidRPr="00E3009F">
              <w:rPr>
                <w:rFonts w:cs="Times New Roman"/>
                <w:spacing w:val="3"/>
                <w:sz w:val="26"/>
                <w:szCs w:val="26"/>
                <w:shd w:val="clear" w:color="auto" w:fill="FFFFFF"/>
              </w:rPr>
              <w:t xml:space="preserve">Các nội dung không quy định cụ thể tại Nghị quyết này được thực hiện theo các quy định tại </w:t>
            </w:r>
            <w:r w:rsidRPr="00E3009F">
              <w:rPr>
                <w:rFonts w:cs="Times New Roman"/>
                <w:sz w:val="26"/>
                <w:szCs w:val="26"/>
              </w:rPr>
              <w:t xml:space="preserve">Thông tư số 23/2026/TT-BKHCN </w:t>
            </w:r>
            <w:r w:rsidRPr="00E3009F">
              <w:rPr>
                <w:rFonts w:cs="Times New Roman"/>
                <w:sz w:val="26"/>
                <w:szCs w:val="26"/>
              </w:rPr>
              <w:lastRenderedPageBreak/>
              <w:t>ngày 28/5/2026 của Bộ trưởng Bộ Khoa học và Công nghệ quy định lập dự toán, quản lý, sử dụng và quyết toán kinh phí ngân sách nhà nước lĩnh vực khoa học, công nghệ, đổi mới sáng tạo và chuyển đổi số cho hoạt động tiêu chuẩn, hoạt động quy chuẩn kỹ thuật (sau đây gọi tắt là Thông tư số 23/2026/TT-BKHCN)</w:t>
            </w:r>
            <w:r w:rsidRPr="00E3009F">
              <w:rPr>
                <w:rFonts w:cs="Times New Roman"/>
                <w:spacing w:val="3"/>
                <w:sz w:val="26"/>
                <w:szCs w:val="26"/>
                <w:shd w:val="clear" w:color="auto" w:fill="FFFFFF"/>
              </w:rPr>
              <w:t>.</w:t>
            </w:r>
          </w:p>
          <w:p w14:paraId="2942368C" w14:textId="14E62082" w:rsidR="00136083" w:rsidRPr="00E3009F" w:rsidRDefault="00136083" w:rsidP="00A12262">
            <w:pPr>
              <w:spacing w:line="240" w:lineRule="atLeast"/>
              <w:jc w:val="both"/>
              <w:rPr>
                <w:rFonts w:cs="Times New Roman"/>
                <w:sz w:val="26"/>
                <w:szCs w:val="26"/>
              </w:rPr>
            </w:pPr>
          </w:p>
        </w:tc>
        <w:tc>
          <w:tcPr>
            <w:tcW w:w="1816" w:type="dxa"/>
          </w:tcPr>
          <w:p w14:paraId="6C335D1E" w14:textId="2CEE0870" w:rsidR="00136083" w:rsidRPr="00E3009F" w:rsidRDefault="00BA52CD" w:rsidP="00406205">
            <w:pPr>
              <w:spacing w:line="240" w:lineRule="atLeast"/>
              <w:jc w:val="both"/>
              <w:rPr>
                <w:rFonts w:cs="Times New Roman"/>
                <w:sz w:val="26"/>
                <w:szCs w:val="26"/>
              </w:rPr>
            </w:pPr>
            <w:r w:rsidRPr="00E3009F">
              <w:rPr>
                <w:rFonts w:cs="Times New Roman"/>
                <w:sz w:val="26"/>
                <w:szCs w:val="26"/>
              </w:rPr>
              <w:lastRenderedPageBreak/>
              <w:t>Theo quy định của Thông tư</w:t>
            </w:r>
          </w:p>
        </w:tc>
      </w:tr>
      <w:tr w:rsidR="00E3009F" w:rsidRPr="00E3009F" w14:paraId="4757B180" w14:textId="77777777" w:rsidTr="00A12262">
        <w:trPr>
          <w:trHeight w:val="684"/>
          <w:jc w:val="center"/>
        </w:trPr>
        <w:tc>
          <w:tcPr>
            <w:tcW w:w="851" w:type="dxa"/>
          </w:tcPr>
          <w:p w14:paraId="50BCC8D2" w14:textId="77777777" w:rsidR="00425711" w:rsidRPr="00E3009F" w:rsidRDefault="00425711" w:rsidP="00A12262">
            <w:pPr>
              <w:spacing w:line="240" w:lineRule="atLeast"/>
              <w:jc w:val="both"/>
              <w:rPr>
                <w:rFonts w:cs="Times New Roman"/>
                <w:sz w:val="26"/>
                <w:szCs w:val="26"/>
              </w:rPr>
            </w:pPr>
          </w:p>
          <w:p w14:paraId="312A1049" w14:textId="5621CA30" w:rsidR="001510D0" w:rsidRPr="00E3009F" w:rsidRDefault="00BA52CD" w:rsidP="00A12262">
            <w:pPr>
              <w:spacing w:line="240" w:lineRule="atLeast"/>
              <w:jc w:val="both"/>
              <w:rPr>
                <w:rFonts w:cs="Times New Roman"/>
                <w:sz w:val="26"/>
                <w:szCs w:val="26"/>
              </w:rPr>
            </w:pPr>
            <w:r w:rsidRPr="00E3009F">
              <w:rPr>
                <w:rFonts w:cs="Times New Roman"/>
                <w:sz w:val="26"/>
                <w:szCs w:val="26"/>
              </w:rPr>
              <w:t>4</w:t>
            </w:r>
          </w:p>
        </w:tc>
        <w:tc>
          <w:tcPr>
            <w:tcW w:w="1573" w:type="dxa"/>
          </w:tcPr>
          <w:p w14:paraId="35BF9F88" w14:textId="791CBE8E" w:rsidR="001510D0" w:rsidRPr="00E3009F" w:rsidRDefault="00962FDD" w:rsidP="00A12262">
            <w:pPr>
              <w:spacing w:line="240" w:lineRule="atLeast"/>
              <w:jc w:val="both"/>
              <w:rPr>
                <w:rFonts w:cs="Times New Roman"/>
                <w:sz w:val="26"/>
                <w:szCs w:val="26"/>
              </w:rPr>
            </w:pPr>
            <w:r w:rsidRPr="00E3009F">
              <w:rPr>
                <w:rFonts w:cs="Times New Roman"/>
                <w:sz w:val="26"/>
                <w:szCs w:val="26"/>
              </w:rPr>
              <w:t>Quy định mức chi kinh phí ngân sách nhà nước lĩnh vực khoa học, công nghệ, đổi mới sáng tạo và chuyển đổi số cho hoạt động tiêu chuẩn, hoạt động quy chuẩn kỹ thuật</w:t>
            </w:r>
          </w:p>
        </w:tc>
        <w:tc>
          <w:tcPr>
            <w:tcW w:w="3550" w:type="dxa"/>
          </w:tcPr>
          <w:p w14:paraId="1357E42C" w14:textId="39FE4188" w:rsidR="001510D0" w:rsidRPr="00E3009F" w:rsidRDefault="001510D0" w:rsidP="00A12262">
            <w:pPr>
              <w:spacing w:line="240" w:lineRule="atLeast"/>
              <w:jc w:val="both"/>
              <w:rPr>
                <w:rFonts w:cs="Times New Roman"/>
                <w:sz w:val="26"/>
                <w:szCs w:val="26"/>
              </w:rPr>
            </w:pPr>
            <w:r w:rsidRPr="00E3009F">
              <w:rPr>
                <w:rFonts w:cs="Times New Roman"/>
                <w:sz w:val="26"/>
                <w:szCs w:val="26"/>
              </w:rPr>
              <w:t xml:space="preserve">Điều </w:t>
            </w:r>
            <w:r w:rsidR="00B0511F" w:rsidRPr="00E3009F">
              <w:rPr>
                <w:rFonts w:cs="Times New Roman"/>
                <w:sz w:val="26"/>
                <w:szCs w:val="26"/>
              </w:rPr>
              <w:t>12</w:t>
            </w:r>
            <w:r w:rsidRPr="00E3009F">
              <w:rPr>
                <w:rFonts w:cs="Times New Roman"/>
                <w:sz w:val="26"/>
                <w:szCs w:val="26"/>
              </w:rPr>
              <w:t xml:space="preserve">, Điều </w:t>
            </w:r>
            <w:r w:rsidR="00B0511F" w:rsidRPr="00E3009F">
              <w:rPr>
                <w:rFonts w:cs="Times New Roman"/>
                <w:sz w:val="26"/>
                <w:szCs w:val="26"/>
              </w:rPr>
              <w:t>13</w:t>
            </w:r>
            <w:r w:rsidRPr="00E3009F">
              <w:rPr>
                <w:rFonts w:cs="Times New Roman"/>
                <w:sz w:val="26"/>
                <w:szCs w:val="26"/>
              </w:rPr>
              <w:t>, Điề</w:t>
            </w:r>
            <w:r w:rsidR="0020073E" w:rsidRPr="00E3009F">
              <w:rPr>
                <w:rFonts w:cs="Times New Roman"/>
                <w:sz w:val="26"/>
                <w:szCs w:val="26"/>
              </w:rPr>
              <w:t xml:space="preserve">u </w:t>
            </w:r>
            <w:r w:rsidR="00B0511F" w:rsidRPr="00E3009F">
              <w:rPr>
                <w:rFonts w:cs="Times New Roman"/>
                <w:sz w:val="26"/>
                <w:szCs w:val="26"/>
              </w:rPr>
              <w:t>14</w:t>
            </w:r>
            <w:r w:rsidR="0020073E" w:rsidRPr="00E3009F">
              <w:rPr>
                <w:rFonts w:cs="Times New Roman"/>
                <w:sz w:val="26"/>
                <w:szCs w:val="26"/>
              </w:rPr>
              <w:t>,</w:t>
            </w:r>
            <w:r w:rsidR="00B0511F" w:rsidRPr="00E3009F">
              <w:rPr>
                <w:rFonts w:cs="Times New Roman"/>
                <w:sz w:val="26"/>
                <w:szCs w:val="26"/>
              </w:rPr>
              <w:t xml:space="preserve"> Điều 16, Điều 17, Điều 18, Điều 21 </w:t>
            </w:r>
            <w:r w:rsidRPr="00E3009F">
              <w:rPr>
                <w:rFonts w:cs="Times New Roman"/>
                <w:sz w:val="26"/>
                <w:szCs w:val="26"/>
              </w:rPr>
              <w:t>Chương II</w:t>
            </w:r>
            <w:r w:rsidR="00B0511F" w:rsidRPr="00E3009F">
              <w:rPr>
                <w:rFonts w:cs="Times New Roman"/>
                <w:sz w:val="26"/>
                <w:szCs w:val="26"/>
              </w:rPr>
              <w:t>I</w:t>
            </w:r>
            <w:r w:rsidRPr="00E3009F">
              <w:rPr>
                <w:rFonts w:cs="Times New Roman"/>
                <w:sz w:val="26"/>
                <w:szCs w:val="26"/>
              </w:rPr>
              <w:t xml:space="preserve">: </w:t>
            </w:r>
            <w:r w:rsidR="0020073E" w:rsidRPr="00E3009F">
              <w:rPr>
                <w:rFonts w:cs="Times New Roman"/>
                <w:sz w:val="26"/>
                <w:szCs w:val="26"/>
              </w:rPr>
              <w:t>Q</w:t>
            </w:r>
            <w:r w:rsidRPr="00E3009F">
              <w:rPr>
                <w:rFonts w:cs="Times New Roman"/>
                <w:sz w:val="26"/>
                <w:szCs w:val="26"/>
              </w:rPr>
              <w:t>uy định cụ thể</w:t>
            </w:r>
          </w:p>
        </w:tc>
        <w:tc>
          <w:tcPr>
            <w:tcW w:w="2872" w:type="dxa"/>
          </w:tcPr>
          <w:p w14:paraId="2DD93591" w14:textId="11EDF4BF" w:rsidR="001510D0" w:rsidRPr="00E3009F" w:rsidRDefault="001510D0" w:rsidP="00A12262">
            <w:pPr>
              <w:spacing w:line="240" w:lineRule="atLeast"/>
              <w:jc w:val="both"/>
              <w:rPr>
                <w:rFonts w:cs="Times New Roman"/>
                <w:spacing w:val="-6"/>
                <w:sz w:val="26"/>
                <w:szCs w:val="26"/>
              </w:rPr>
            </w:pPr>
          </w:p>
        </w:tc>
        <w:tc>
          <w:tcPr>
            <w:tcW w:w="1581" w:type="dxa"/>
          </w:tcPr>
          <w:p w14:paraId="00E8BD64" w14:textId="77777777" w:rsidR="001510D0" w:rsidRPr="00E3009F" w:rsidRDefault="001510D0" w:rsidP="00A12262">
            <w:pPr>
              <w:spacing w:line="240" w:lineRule="atLeast"/>
              <w:jc w:val="both"/>
              <w:rPr>
                <w:rFonts w:cs="Times New Roman"/>
                <w:sz w:val="26"/>
                <w:szCs w:val="26"/>
              </w:rPr>
            </w:pPr>
          </w:p>
        </w:tc>
        <w:tc>
          <w:tcPr>
            <w:tcW w:w="3119" w:type="dxa"/>
          </w:tcPr>
          <w:p w14:paraId="56999316" w14:textId="18D3336C" w:rsidR="002E746E" w:rsidRPr="00E3009F" w:rsidRDefault="000B5A34" w:rsidP="00A12262">
            <w:pPr>
              <w:spacing w:line="240" w:lineRule="atLeast"/>
              <w:jc w:val="both"/>
              <w:rPr>
                <w:rFonts w:cs="Times New Roman"/>
                <w:b/>
                <w:sz w:val="26"/>
                <w:szCs w:val="26"/>
              </w:rPr>
            </w:pPr>
            <w:r w:rsidRPr="00E3009F">
              <w:rPr>
                <w:rFonts w:cs="Times New Roman"/>
                <w:sz w:val="26"/>
                <w:szCs w:val="26"/>
              </w:rPr>
              <w:t>Điều 3, Điều 4, Điều 5, Điều 6, Điều 7, Điều 8, Điều 9 của Nghị quyết</w:t>
            </w:r>
          </w:p>
          <w:p w14:paraId="7BB66444" w14:textId="0B29E20A" w:rsidR="001510D0" w:rsidRPr="00E3009F" w:rsidRDefault="001510D0" w:rsidP="00A12262">
            <w:pPr>
              <w:spacing w:line="240" w:lineRule="atLeast"/>
              <w:jc w:val="both"/>
              <w:rPr>
                <w:rFonts w:cs="Times New Roman"/>
                <w:sz w:val="26"/>
                <w:szCs w:val="26"/>
              </w:rPr>
            </w:pPr>
          </w:p>
        </w:tc>
        <w:tc>
          <w:tcPr>
            <w:tcW w:w="1816" w:type="dxa"/>
          </w:tcPr>
          <w:p w14:paraId="1F3174B9" w14:textId="06280437" w:rsidR="001510D0" w:rsidRPr="00E3009F" w:rsidRDefault="00BA52CD" w:rsidP="00391BAD">
            <w:pPr>
              <w:spacing w:line="240" w:lineRule="atLeast"/>
              <w:jc w:val="both"/>
              <w:rPr>
                <w:rFonts w:cs="Times New Roman"/>
                <w:sz w:val="26"/>
                <w:szCs w:val="26"/>
              </w:rPr>
            </w:pPr>
            <w:r w:rsidRPr="00E3009F">
              <w:rPr>
                <w:rFonts w:cs="Times New Roman"/>
                <w:sz w:val="26"/>
                <w:szCs w:val="26"/>
              </w:rPr>
              <w:t xml:space="preserve">Lựa chọn </w:t>
            </w:r>
            <w:r w:rsidR="000469A0" w:rsidRPr="00E3009F">
              <w:rPr>
                <w:rFonts w:cs="Times New Roman"/>
                <w:sz w:val="26"/>
                <w:szCs w:val="26"/>
              </w:rPr>
              <w:t xml:space="preserve">các quy định mức chi </w:t>
            </w:r>
            <w:r w:rsidR="00391BAD" w:rsidRPr="00E3009F">
              <w:rPr>
                <w:rFonts w:cs="Times New Roman"/>
                <w:sz w:val="26"/>
                <w:szCs w:val="26"/>
              </w:rPr>
              <w:t>có phát sinh nhiệm vụ</w:t>
            </w:r>
            <w:r w:rsidR="005849B6">
              <w:rPr>
                <w:rFonts w:cs="Times New Roman"/>
                <w:sz w:val="26"/>
                <w:szCs w:val="26"/>
              </w:rPr>
              <w:t>, hoạt động</w:t>
            </w:r>
            <w:bookmarkStart w:id="5" w:name="_GoBack"/>
            <w:bookmarkEnd w:id="5"/>
            <w:r w:rsidR="00391BAD" w:rsidRPr="00E3009F">
              <w:rPr>
                <w:rFonts w:cs="Times New Roman"/>
                <w:sz w:val="26"/>
                <w:szCs w:val="26"/>
              </w:rPr>
              <w:t xml:space="preserve"> tại</w:t>
            </w:r>
            <w:r w:rsidR="000469A0" w:rsidRPr="00E3009F">
              <w:rPr>
                <w:rFonts w:cs="Times New Roman"/>
                <w:sz w:val="26"/>
                <w:szCs w:val="26"/>
              </w:rPr>
              <w:t xml:space="preserve"> địa phương để đưa vào nghị quyết</w:t>
            </w:r>
          </w:p>
        </w:tc>
      </w:tr>
      <w:tr w:rsidR="00E3009F" w:rsidRPr="00E3009F" w14:paraId="60787B14" w14:textId="77777777" w:rsidTr="00A12262">
        <w:trPr>
          <w:trHeight w:val="337"/>
          <w:jc w:val="center"/>
        </w:trPr>
        <w:tc>
          <w:tcPr>
            <w:tcW w:w="851" w:type="dxa"/>
          </w:tcPr>
          <w:p w14:paraId="1D0B6330" w14:textId="77777777" w:rsidR="00E73AA4" w:rsidRPr="00E3009F" w:rsidRDefault="00E73AA4" w:rsidP="00A12262">
            <w:pPr>
              <w:spacing w:line="240" w:lineRule="atLeast"/>
              <w:jc w:val="both"/>
              <w:rPr>
                <w:rFonts w:cs="Times New Roman"/>
                <w:sz w:val="26"/>
                <w:szCs w:val="26"/>
              </w:rPr>
            </w:pPr>
          </w:p>
        </w:tc>
        <w:tc>
          <w:tcPr>
            <w:tcW w:w="1573" w:type="dxa"/>
          </w:tcPr>
          <w:p w14:paraId="58E8FA7C" w14:textId="77777777" w:rsidR="00E73AA4" w:rsidRPr="00E3009F" w:rsidRDefault="00E73AA4" w:rsidP="00A12262">
            <w:pPr>
              <w:spacing w:line="240" w:lineRule="atLeast"/>
              <w:jc w:val="both"/>
              <w:rPr>
                <w:rFonts w:cs="Times New Roman"/>
                <w:sz w:val="26"/>
                <w:szCs w:val="26"/>
              </w:rPr>
            </w:pPr>
          </w:p>
        </w:tc>
        <w:tc>
          <w:tcPr>
            <w:tcW w:w="3550" w:type="dxa"/>
          </w:tcPr>
          <w:p w14:paraId="2EB97364" w14:textId="44E7B823"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bookmarkStart w:id="6" w:name="dieu_12"/>
            <w:r w:rsidRPr="00E3009F">
              <w:rPr>
                <w:bCs/>
                <w:sz w:val="26"/>
                <w:szCs w:val="26"/>
              </w:rPr>
              <w:t>Điều 12. Định mức chi thực hiện các nội dung công việc có tính chất phổ biến về hoạt động tiêu chuẩn, hoạt động quy chuẩn kỹ thuật</w:t>
            </w:r>
            <w:bookmarkEnd w:id="6"/>
          </w:p>
          <w:p w14:paraId="1B8C9A3F"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1. Chi đối với các nội dung công việc có tính chất phổ biến trong hoạt động tiêu chuẩn, hoạt động quy chuẩn kỹ thuật được áp </w:t>
            </w:r>
            <w:r w:rsidRPr="00E3009F">
              <w:rPr>
                <w:sz w:val="26"/>
                <w:szCs w:val="26"/>
              </w:rPr>
              <w:lastRenderedPageBreak/>
              <w:t>dụng theo các định mức chi có nội dung tương tự quy định tại các văn bản quy phạm pháp luật hiện hành có liên quan, bao gồm cả:</w:t>
            </w:r>
          </w:p>
          <w:p w14:paraId="7C063155"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a) Chi công tác phí trong nước, chi tổ chức hội nghị, hội thảo: áp dụng định mức chi tại Thông tư số </w:t>
            </w:r>
            <w:bookmarkStart w:id="7" w:name="tvpllink_iokckdmoej"/>
            <w:r w:rsidRPr="00E3009F">
              <w:rPr>
                <w:sz w:val="26"/>
                <w:szCs w:val="26"/>
              </w:rPr>
              <w:fldChar w:fldCharType="begin"/>
            </w:r>
            <w:r w:rsidRPr="00E3009F">
              <w:rPr>
                <w:sz w:val="26"/>
                <w:szCs w:val="26"/>
              </w:rPr>
              <w:instrText xml:space="preserve"> HYPERLINK "https://thuvienphapluat.vn/van-ban/Bo-may-hanh-chinh/Thong-tu-40-2017-TT-BTC-cong-tac-phi-chi-hoi-nghi-doi-voi-co-quan-nha-nuoc-su-nghiep-cong-lap-327960.aspx" \t "_blank" </w:instrText>
            </w:r>
            <w:r w:rsidRPr="00E3009F">
              <w:rPr>
                <w:sz w:val="26"/>
                <w:szCs w:val="26"/>
              </w:rPr>
              <w:fldChar w:fldCharType="separate"/>
            </w:r>
            <w:r w:rsidRPr="00E3009F">
              <w:rPr>
                <w:rStyle w:val="Siuktni"/>
                <w:color w:val="auto"/>
                <w:sz w:val="26"/>
                <w:szCs w:val="26"/>
                <w:u w:val="none"/>
              </w:rPr>
              <w:t>40/2017/TT-BTC</w:t>
            </w:r>
            <w:r w:rsidRPr="00E3009F">
              <w:rPr>
                <w:sz w:val="26"/>
                <w:szCs w:val="26"/>
              </w:rPr>
              <w:fldChar w:fldCharType="end"/>
            </w:r>
            <w:bookmarkEnd w:id="7"/>
            <w:r w:rsidRPr="00E3009F">
              <w:rPr>
                <w:sz w:val="26"/>
                <w:szCs w:val="26"/>
              </w:rPr>
              <w:t> ngày 28 tháng 4 năm 2017 của Bộ trưởng Bộ Tài chính quy định chế độ công tác phí, chế độ chi hội nghị, được sửa đổi, bổ sung bởi Thông tư số </w:t>
            </w:r>
            <w:bookmarkStart w:id="8" w:name="tvpllink_ovvvdotqhz"/>
            <w:r w:rsidRPr="00E3009F">
              <w:rPr>
                <w:sz w:val="26"/>
                <w:szCs w:val="26"/>
              </w:rPr>
              <w:fldChar w:fldCharType="begin"/>
            </w:r>
            <w:r w:rsidRPr="00E3009F">
              <w:rPr>
                <w:sz w:val="26"/>
                <w:szCs w:val="26"/>
              </w:rPr>
              <w:instrText xml:space="preserve"> HYPERLINK "https://thuvienphapluat.vn/van-ban/Tai-chinh-nha-nuoc/Thong-tu-12-2025-TT-BTC-sua-doi-Thong-tu-40-2017-TT-BTC-che-do-cong-tac-phi-648519.aspx" \t "_blank" </w:instrText>
            </w:r>
            <w:r w:rsidRPr="00E3009F">
              <w:rPr>
                <w:sz w:val="26"/>
                <w:szCs w:val="26"/>
              </w:rPr>
              <w:fldChar w:fldCharType="separate"/>
            </w:r>
            <w:r w:rsidRPr="00E3009F">
              <w:rPr>
                <w:rStyle w:val="Siuktni"/>
                <w:color w:val="auto"/>
                <w:sz w:val="26"/>
                <w:szCs w:val="26"/>
                <w:u w:val="none"/>
              </w:rPr>
              <w:t>12/2025/TT-BTC</w:t>
            </w:r>
            <w:r w:rsidRPr="00E3009F">
              <w:rPr>
                <w:sz w:val="26"/>
                <w:szCs w:val="26"/>
              </w:rPr>
              <w:fldChar w:fldCharType="end"/>
            </w:r>
            <w:bookmarkEnd w:id="8"/>
            <w:r w:rsidRPr="00E3009F">
              <w:rPr>
                <w:sz w:val="26"/>
                <w:szCs w:val="26"/>
              </w:rPr>
              <w:t>;</w:t>
            </w:r>
          </w:p>
          <w:p w14:paraId="149F90E7"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b) Chi công tác phí nước ngoài: áp dụng định mức chi tại Thông tư số 140/2025/TT-BTC ngày 30 tháng 12 năm 2025 của Bộ trưởng Bộ Tài chính quy định chế độ công tác phí đi công tác ngắn hạn ở nước ngoài do ngân sách nhà nước bảo đảm kinh phí;</w:t>
            </w:r>
          </w:p>
          <w:p w14:paraId="4886ADAF"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c) Chi dịch thuật, tổ chức hội nghị, hội thảo quốc tế, chi tiếp khách trong nước và quốc tế: áp dụng định mức chi tại Thông tư </w:t>
            </w:r>
            <w:r w:rsidRPr="00E3009F">
              <w:rPr>
                <w:sz w:val="26"/>
                <w:szCs w:val="26"/>
              </w:rPr>
              <w:lastRenderedPageBreak/>
              <w:t>số </w:t>
            </w:r>
            <w:bookmarkStart w:id="9" w:name="tvpllink_xktyjixhgk"/>
            <w:r w:rsidRPr="00E3009F">
              <w:rPr>
                <w:sz w:val="26"/>
                <w:szCs w:val="26"/>
              </w:rPr>
              <w:fldChar w:fldCharType="begin"/>
            </w:r>
            <w:r w:rsidRPr="00E3009F">
              <w:rPr>
                <w:sz w:val="26"/>
                <w:szCs w:val="26"/>
              </w:rPr>
              <w:instrText xml:space="preserve"> HYPERLINK "https://thuvienphapluat.vn/van-ban/Tai-chinh-nha-nuoc/Thong-tu-35-2026-TT-BT%d0%a1-che-do-tiep-khach-nuoc-ngoai-vao-lam-viec-tai-Viet-Nam-700176.aspx" \t "_blank" </w:instrText>
            </w:r>
            <w:r w:rsidRPr="00E3009F">
              <w:rPr>
                <w:sz w:val="26"/>
                <w:szCs w:val="26"/>
              </w:rPr>
              <w:fldChar w:fldCharType="separate"/>
            </w:r>
            <w:r w:rsidRPr="00E3009F">
              <w:rPr>
                <w:rStyle w:val="Siuktni"/>
                <w:color w:val="auto"/>
                <w:sz w:val="26"/>
                <w:szCs w:val="26"/>
                <w:u w:val="none"/>
              </w:rPr>
              <w:t>35/2026/TT-BTC</w:t>
            </w:r>
            <w:r w:rsidRPr="00E3009F">
              <w:rPr>
                <w:sz w:val="26"/>
                <w:szCs w:val="26"/>
              </w:rPr>
              <w:fldChar w:fldCharType="end"/>
            </w:r>
            <w:bookmarkEnd w:id="9"/>
            <w:r w:rsidRPr="00E3009F">
              <w:rPr>
                <w:sz w:val="26"/>
                <w:szCs w:val="26"/>
              </w:rPr>
              <w:t> ngày 31 tháng 3 năm 2026 của Bộ trưởng Bộ Tài chính quy định chế độ tiếp khách nước ngoài vào làm việc tại Việt Nam, chế độ chi tổ chức hội nghị, hội thảo quốc tế tại Việt Nam và chế độ tiếp khách trong nước;</w:t>
            </w:r>
          </w:p>
          <w:p w14:paraId="71C1DC27"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d) Chi điều tra, khảo sát, thu thập số liệu: áp dụng định mức chi tại Thông tư số </w:t>
            </w:r>
            <w:bookmarkStart w:id="10" w:name="tvpllink_ewtgpsicue"/>
            <w:r w:rsidRPr="00E3009F">
              <w:rPr>
                <w:sz w:val="26"/>
                <w:szCs w:val="26"/>
              </w:rPr>
              <w:fldChar w:fldCharType="begin"/>
            </w:r>
            <w:r w:rsidRPr="00E3009F">
              <w:rPr>
                <w:sz w:val="26"/>
                <w:szCs w:val="26"/>
              </w:rPr>
              <w:instrText xml:space="preserve"> HYPERLINK "https://thuvienphapluat.vn/van-ban/Tai-chinh-nha-nuoc/Thong-tu-109-2016-TT-BTC-lap-du-toan-su-dung-quyet-toan-kinh-phi-thuc-hien-dieu-tra-thong-ke-316840.aspx" \t "_blank" </w:instrText>
            </w:r>
            <w:r w:rsidRPr="00E3009F">
              <w:rPr>
                <w:sz w:val="26"/>
                <w:szCs w:val="26"/>
              </w:rPr>
              <w:fldChar w:fldCharType="separate"/>
            </w:r>
            <w:r w:rsidRPr="00E3009F">
              <w:rPr>
                <w:rStyle w:val="Siuktni"/>
                <w:color w:val="auto"/>
                <w:sz w:val="26"/>
                <w:szCs w:val="26"/>
                <w:u w:val="none"/>
              </w:rPr>
              <w:t>109/2016/TT-BTC</w:t>
            </w:r>
            <w:r w:rsidRPr="00E3009F">
              <w:rPr>
                <w:sz w:val="26"/>
                <w:szCs w:val="26"/>
              </w:rPr>
              <w:fldChar w:fldCharType="end"/>
            </w:r>
            <w:bookmarkEnd w:id="10"/>
            <w:r w:rsidRPr="00E3009F">
              <w:rPr>
                <w:sz w:val="26"/>
                <w:szCs w:val="26"/>
              </w:rPr>
              <w:t> ngày 30 tháng 6 năm 2016 của Bộ trưởng Bộ Tài chính quy định lập dự toán, quản lý, sử dụng và quyết toán kinh phí thực hiện các cuộc điều tra thống kê, Tổng điều tra thống kê quốc gia, được sửa đổi, bổ sung bởi Thông tư số </w:t>
            </w:r>
            <w:bookmarkStart w:id="11" w:name="tvpllink_xsmnvbhdha"/>
            <w:r w:rsidRPr="00E3009F">
              <w:rPr>
                <w:sz w:val="26"/>
                <w:szCs w:val="26"/>
              </w:rPr>
              <w:fldChar w:fldCharType="begin"/>
            </w:r>
            <w:r w:rsidRPr="00E3009F">
              <w:rPr>
                <w:sz w:val="26"/>
                <w:szCs w:val="26"/>
              </w:rPr>
              <w:instrText xml:space="preserve"> HYPERLINK "https://thuvienphapluat.vn/van-ban/Bo-may-hanh-chinh/Thong-tu-37-2022-TT-BTC-sua-doi-Thong-tu-109-2016-TT-BTC-kinh-phi-dieu-tra-thong-ke-518580.aspx" \t "_blank" </w:instrText>
            </w:r>
            <w:r w:rsidRPr="00E3009F">
              <w:rPr>
                <w:sz w:val="26"/>
                <w:szCs w:val="26"/>
              </w:rPr>
              <w:fldChar w:fldCharType="separate"/>
            </w:r>
            <w:r w:rsidRPr="00E3009F">
              <w:rPr>
                <w:rStyle w:val="Siuktni"/>
                <w:color w:val="auto"/>
                <w:sz w:val="26"/>
                <w:szCs w:val="26"/>
                <w:u w:val="none"/>
              </w:rPr>
              <w:t>37/2022/TT-BTC</w:t>
            </w:r>
            <w:r w:rsidRPr="00E3009F">
              <w:rPr>
                <w:sz w:val="26"/>
                <w:szCs w:val="26"/>
              </w:rPr>
              <w:fldChar w:fldCharType="end"/>
            </w:r>
            <w:bookmarkEnd w:id="11"/>
            <w:r w:rsidRPr="00E3009F">
              <w:rPr>
                <w:sz w:val="26"/>
                <w:szCs w:val="26"/>
              </w:rPr>
              <w:t>;</w:t>
            </w:r>
          </w:p>
          <w:p w14:paraId="3527AC3F"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đ) Chi thuê chuyên gia tư vấn trong nước thực hiện hoạt động tiêu chuẩn, hoạt động quy chuẩn kỹ thuật được áp dụng theo mức lương quy định tại Thông tư số </w:t>
            </w:r>
            <w:bookmarkStart w:id="12" w:name="tvpllink_trpvdzbibu"/>
            <w:r w:rsidRPr="00E3009F">
              <w:rPr>
                <w:sz w:val="26"/>
                <w:szCs w:val="26"/>
              </w:rPr>
              <w:fldChar w:fldCharType="begin"/>
            </w:r>
            <w:r w:rsidRPr="00E3009F">
              <w:rPr>
                <w:sz w:val="26"/>
                <w:szCs w:val="26"/>
              </w:rPr>
              <w:instrText xml:space="preserve"> HYPERLINK "https://thuvienphapluat.vn/van-ban/Dau-tu/Thong-tu-7-2026-TT-BNV-muc-luong-chuyen-gia-tu-van-trong-nuoc-lam-co-so-xac-dinh-gia-goi-thau-704494.aspx" \t "_blank" </w:instrText>
            </w:r>
            <w:r w:rsidRPr="00E3009F">
              <w:rPr>
                <w:sz w:val="26"/>
                <w:szCs w:val="26"/>
              </w:rPr>
              <w:fldChar w:fldCharType="separate"/>
            </w:r>
            <w:r w:rsidRPr="00E3009F">
              <w:rPr>
                <w:rStyle w:val="Siuktni"/>
                <w:color w:val="auto"/>
                <w:sz w:val="26"/>
                <w:szCs w:val="26"/>
                <w:u w:val="none"/>
              </w:rPr>
              <w:t>7/2026/TT-BNV</w:t>
            </w:r>
            <w:r w:rsidRPr="00E3009F">
              <w:rPr>
                <w:sz w:val="26"/>
                <w:szCs w:val="26"/>
              </w:rPr>
              <w:fldChar w:fldCharType="end"/>
            </w:r>
            <w:bookmarkEnd w:id="12"/>
            <w:r w:rsidRPr="00E3009F">
              <w:rPr>
                <w:sz w:val="26"/>
                <w:szCs w:val="26"/>
              </w:rPr>
              <w:t xml:space="preserve"> ngày 05 tháng 5 năm 2026 của Bộ trưởng </w:t>
            </w:r>
            <w:r w:rsidRPr="00E3009F">
              <w:rPr>
                <w:sz w:val="26"/>
                <w:szCs w:val="26"/>
              </w:rPr>
              <w:lastRenderedPageBreak/>
              <w:t>Bộ Nội vụ quy định mức lương của chuyên gia tư vấn trong nước làm cơ sở xác định giá gói thầu;</w:t>
            </w:r>
          </w:p>
          <w:p w14:paraId="4E07ABE7"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e) Định mức chi thuê chuyên gia là người Việt Nam định cư ở nước ngoài hoặc là người nước ngoài, đơn vị căn cứ nội dung yêu cầu công việc thuê chuyên gia thuyết minh rõ sự cần thiết, kết quả và hiệu quả của việc thuê chuyên gia để trình cơ quan có thẩm quyền phê duyệt trên cơ sở hồ sơ, tài liệu chứng minh và kết quả thương thảo về yêu cầu công việc và mức thù lao chuyên gia;</w:t>
            </w:r>
          </w:p>
          <w:p w14:paraId="175A8D8B"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g) Chi tạo lập thông tin điện tử: thực hiện theo quy định pháp luật về quản lý đầu tư ứng dụng công nghệ thông tin, chuyển đổi số sử dụng nguồn vốn ngân sách nhà nước và quy định của pháp luật có liên quan; các định mức kinh tế - kỹ thuật trong lĩnh vực công nghệ thông tin và chuyển </w:t>
            </w:r>
            <w:r w:rsidRPr="00E3009F">
              <w:rPr>
                <w:sz w:val="26"/>
                <w:szCs w:val="26"/>
              </w:rPr>
              <w:lastRenderedPageBreak/>
              <w:t>đổi số theo hướng dẫn của Bộ Khoa học và Công nghệ;</w:t>
            </w:r>
          </w:p>
          <w:p w14:paraId="07F4D20F"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h) Chi xây dựng giáo trình, tài liệu phục vụ đào tạo, tập huấn: áp dụng định mức chi được quy định tại Thông tư số </w:t>
            </w:r>
            <w:bookmarkStart w:id="13" w:name="tvpllink_rhelguhmxr"/>
            <w:r w:rsidRPr="00E3009F">
              <w:rPr>
                <w:sz w:val="26"/>
                <w:szCs w:val="26"/>
              </w:rPr>
              <w:fldChar w:fldCharType="begin"/>
            </w:r>
            <w:r w:rsidRPr="00E3009F">
              <w:rPr>
                <w:sz w:val="26"/>
                <w:szCs w:val="26"/>
              </w:rPr>
              <w:instrText xml:space="preserve"> HYPERLINK "https://thuvienphapluat.vn/van-ban/tai-chinh-nha-nuoc/thong-tu-76-2018-tt-btc-muc-chi-xay-dung-chuong-trinh-bien-soan-giao-trinh-giao-duc-dai-hoc-393221.aspx" \t "_blank" </w:instrText>
            </w:r>
            <w:r w:rsidRPr="00E3009F">
              <w:rPr>
                <w:sz w:val="26"/>
                <w:szCs w:val="26"/>
              </w:rPr>
              <w:fldChar w:fldCharType="separate"/>
            </w:r>
            <w:r w:rsidRPr="00E3009F">
              <w:rPr>
                <w:rStyle w:val="Siuktni"/>
                <w:color w:val="auto"/>
                <w:sz w:val="26"/>
                <w:szCs w:val="26"/>
                <w:u w:val="none"/>
              </w:rPr>
              <w:t>76/2018/TT-BTC</w:t>
            </w:r>
            <w:r w:rsidRPr="00E3009F">
              <w:rPr>
                <w:sz w:val="26"/>
                <w:szCs w:val="26"/>
              </w:rPr>
              <w:fldChar w:fldCharType="end"/>
            </w:r>
            <w:bookmarkEnd w:id="13"/>
            <w:r w:rsidRPr="00E3009F">
              <w:rPr>
                <w:sz w:val="26"/>
                <w:szCs w:val="26"/>
              </w:rPr>
              <w:t> ngày 17 tháng 8 năm 2018 của Bộ trưởng Bộ Tài chính hướng dẫn nội dung, mức chi xây dựng chương trình đào tạo, biên soạn giáo trình môn học đối với giáo dục đại học, giáo dục nghề nghiệp;</w:t>
            </w:r>
          </w:p>
          <w:p w14:paraId="562B44A4"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i) Chi tổ chức hoạt động đào tạo nghiệp vụ về tiêu chuẩn, quy chuẩn kỹ thuật: thực hiện theo quy định về nội dung chi và định mức chi tại Thông tư số </w:t>
            </w:r>
            <w:bookmarkStart w:id="14" w:name="tvpllink_gzdmlyvajy"/>
            <w:r w:rsidRPr="00E3009F">
              <w:rPr>
                <w:sz w:val="26"/>
                <w:szCs w:val="26"/>
              </w:rPr>
              <w:fldChar w:fldCharType="begin"/>
            </w:r>
            <w:r w:rsidRPr="00E3009F">
              <w:rPr>
                <w:sz w:val="26"/>
                <w:szCs w:val="26"/>
              </w:rPr>
              <w:instrText xml:space="preserve"> HYPERLINK "https://thuvienphapluat.vn/van-ban/Bo-may-hanh-chinh/Thong-tu-100-2025-TT-BTC-huong-dan-lap-du-toan-kinh-phi-danh-cho-cong-tac-dao-tao-cong-chuc-678890.aspx" \t "_blank" </w:instrText>
            </w:r>
            <w:r w:rsidRPr="00E3009F">
              <w:rPr>
                <w:sz w:val="26"/>
                <w:szCs w:val="26"/>
              </w:rPr>
              <w:fldChar w:fldCharType="separate"/>
            </w:r>
            <w:r w:rsidRPr="00E3009F">
              <w:rPr>
                <w:rStyle w:val="Siuktni"/>
                <w:color w:val="auto"/>
                <w:sz w:val="26"/>
                <w:szCs w:val="26"/>
                <w:u w:val="none"/>
              </w:rPr>
              <w:t>100/2025/TT-BTC</w:t>
            </w:r>
            <w:r w:rsidRPr="00E3009F">
              <w:rPr>
                <w:sz w:val="26"/>
                <w:szCs w:val="26"/>
              </w:rPr>
              <w:fldChar w:fldCharType="end"/>
            </w:r>
            <w:bookmarkEnd w:id="14"/>
            <w:r w:rsidRPr="00E3009F">
              <w:rPr>
                <w:sz w:val="26"/>
                <w:szCs w:val="26"/>
              </w:rPr>
              <w:t> ngày 28 tháng 10 năm 2025 của Bộ trưởng Bộ Tài chính hướng dẫn lập dự toán, quản lý, sử dụng và quyết toán kinh phí dành cho công tác đào tạo, bồi dưỡng công chức, viên chức;</w:t>
            </w:r>
          </w:p>
          <w:p w14:paraId="54F53473"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k) Chi tổ chức các hoạt động tuyên truyền: thực hiện theo quy </w:t>
            </w:r>
            <w:r w:rsidRPr="00E3009F">
              <w:rPr>
                <w:sz w:val="26"/>
                <w:szCs w:val="26"/>
              </w:rPr>
              <w:lastRenderedPageBreak/>
              <w:t>định tại Nghị định số </w:t>
            </w:r>
            <w:bookmarkStart w:id="15" w:name="tvpllink_enxemchfps"/>
            <w:r w:rsidRPr="00E3009F">
              <w:rPr>
                <w:sz w:val="26"/>
                <w:szCs w:val="26"/>
              </w:rPr>
              <w:fldChar w:fldCharType="begin"/>
            </w:r>
            <w:r w:rsidRPr="00E3009F">
              <w:rPr>
                <w:sz w:val="26"/>
                <w:szCs w:val="26"/>
              </w:rPr>
              <w:instrText xml:space="preserve"> HYPERLINK "https://thuvienphapluat.vn/van-ban/lao-dong-tien-luong/nghi-dinh-18-2014-nd-cp-che-do-nhuan-but-trong-linh-vuc-bao-chi-xuat-ban-223342.aspx" \t "_blank" </w:instrText>
            </w:r>
            <w:r w:rsidRPr="00E3009F">
              <w:rPr>
                <w:sz w:val="26"/>
                <w:szCs w:val="26"/>
              </w:rPr>
              <w:fldChar w:fldCharType="separate"/>
            </w:r>
            <w:r w:rsidRPr="00E3009F">
              <w:rPr>
                <w:rStyle w:val="Siuktni"/>
                <w:color w:val="auto"/>
                <w:sz w:val="26"/>
                <w:szCs w:val="26"/>
                <w:u w:val="none"/>
              </w:rPr>
              <w:t>18/2014/NĐ-CP</w:t>
            </w:r>
            <w:r w:rsidRPr="00E3009F">
              <w:rPr>
                <w:sz w:val="26"/>
                <w:szCs w:val="26"/>
              </w:rPr>
              <w:fldChar w:fldCharType="end"/>
            </w:r>
            <w:bookmarkEnd w:id="15"/>
            <w:r w:rsidRPr="00E3009F">
              <w:rPr>
                <w:sz w:val="26"/>
                <w:szCs w:val="26"/>
              </w:rPr>
              <w:t> ngày 14 tháng 3 năm 2014 của Chính phủ quy định về chế độ nhuận bút trong lĩnh vực báo chí, xuất bản;</w:t>
            </w:r>
          </w:p>
          <w:p w14:paraId="5DE9F6B1"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l) Chi tôn vinh, khen thưởng cơ quan, tổ chức và cá nhân có đóng góp tích cực trong lĩnh vực tiêu chuẩn và quy chuẩn kỹ thuật: thực hiện theo quy định tại Nghị định số </w:t>
            </w:r>
            <w:bookmarkStart w:id="16" w:name="tvpllink_ukuqlvywyh"/>
            <w:r w:rsidRPr="00E3009F">
              <w:rPr>
                <w:sz w:val="26"/>
                <w:szCs w:val="26"/>
              </w:rPr>
              <w:fldChar w:fldCharType="begin"/>
            </w:r>
            <w:r w:rsidRPr="00E3009F">
              <w:rPr>
                <w:sz w:val="26"/>
                <w:szCs w:val="26"/>
              </w:rPr>
              <w:instrText xml:space="preserve"> HYPERLINK "https://thuvienphapluat.vn/van-ban/Bo-may-hanh-chinh/Nghi-dinh-152-2025-ND-CP-phan-cap-phan-quyen-trong-linh-vuc-thi-dua-khen-thuong-660835.aspx" \t "_blank" </w:instrText>
            </w:r>
            <w:r w:rsidRPr="00E3009F">
              <w:rPr>
                <w:sz w:val="26"/>
                <w:szCs w:val="26"/>
              </w:rPr>
              <w:fldChar w:fldCharType="separate"/>
            </w:r>
            <w:r w:rsidRPr="00E3009F">
              <w:rPr>
                <w:rStyle w:val="Siuktni"/>
                <w:color w:val="auto"/>
                <w:sz w:val="26"/>
                <w:szCs w:val="26"/>
                <w:u w:val="none"/>
              </w:rPr>
              <w:t>152/2025/NĐ-CP</w:t>
            </w:r>
            <w:r w:rsidRPr="00E3009F">
              <w:rPr>
                <w:sz w:val="26"/>
                <w:szCs w:val="26"/>
              </w:rPr>
              <w:fldChar w:fldCharType="end"/>
            </w:r>
            <w:bookmarkEnd w:id="16"/>
            <w:r w:rsidRPr="00E3009F">
              <w:rPr>
                <w:sz w:val="26"/>
                <w:szCs w:val="26"/>
              </w:rPr>
              <w:t> ngày 14 tháng 6 năm 2025 của Chính phủ quy định về phân cấp, phân quyền trong lĩnh vực thi đua, khen thưởng; quy định chi tiết và hướng dẫn thi hành một số điều của </w:t>
            </w:r>
            <w:bookmarkStart w:id="17" w:name="tvpllink_fqjkwvbybb"/>
            <w:r w:rsidRPr="00E3009F">
              <w:rPr>
                <w:sz w:val="26"/>
                <w:szCs w:val="26"/>
              </w:rPr>
              <w:fldChar w:fldCharType="begin"/>
            </w:r>
            <w:r w:rsidRPr="00E3009F">
              <w:rPr>
                <w:sz w:val="26"/>
                <w:szCs w:val="26"/>
              </w:rPr>
              <w:instrText xml:space="preserve"> HYPERLINK "https://thuvienphapluat.vn/van-ban/Linh-vuc-khac/Luat-Thi-dua-Khen-thuong-2022-418232.aspx" \t "_blank" </w:instrText>
            </w:r>
            <w:r w:rsidRPr="00E3009F">
              <w:rPr>
                <w:sz w:val="26"/>
                <w:szCs w:val="26"/>
              </w:rPr>
              <w:fldChar w:fldCharType="separate"/>
            </w:r>
            <w:r w:rsidRPr="00E3009F">
              <w:rPr>
                <w:rStyle w:val="Siuktni"/>
                <w:color w:val="auto"/>
                <w:sz w:val="26"/>
                <w:szCs w:val="26"/>
                <w:u w:val="none"/>
              </w:rPr>
              <w:t>Luật Thi đua, khen thưởng</w:t>
            </w:r>
            <w:r w:rsidRPr="00E3009F">
              <w:rPr>
                <w:sz w:val="26"/>
                <w:szCs w:val="26"/>
              </w:rPr>
              <w:fldChar w:fldCharType="end"/>
            </w:r>
            <w:bookmarkEnd w:id="17"/>
            <w:r w:rsidRPr="00E3009F">
              <w:rPr>
                <w:sz w:val="26"/>
                <w:szCs w:val="26"/>
              </w:rPr>
              <w:t> và các văn bản hướng dẫn thực hiện;</w:t>
            </w:r>
          </w:p>
          <w:p w14:paraId="73A9D91C"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m) Chi văn phòng phẩm, thông tin liên lạc, in ấn được xây dựng trên cơ sở nhu cầu, khối lượng, đơn giá theo mặt bằng giá thị trường tại thời điểm lập dự toán hoặc theo định mức hiện hành (nếu có).</w:t>
            </w:r>
          </w:p>
          <w:p w14:paraId="7CDE3CE9" w14:textId="1B5C53EE" w:rsidR="00E73AA4"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lastRenderedPageBreak/>
              <w:t>2. Ngoài các định mức chi quy định tại khoản 1 Điều này, định mức chi đối với các nội dung công việc có tính chất chuyên môn của hoạt động tiêu chuẩn, hoạt động quy chuẩn kỹ thuật được quy định từ </w:t>
            </w:r>
            <w:bookmarkStart w:id="18" w:name="tc_2"/>
            <w:r w:rsidRPr="00E3009F">
              <w:rPr>
                <w:sz w:val="26"/>
                <w:szCs w:val="26"/>
              </w:rPr>
              <w:t>Điều 13 đến Điều 23 Thông tư này</w:t>
            </w:r>
            <w:bookmarkEnd w:id="18"/>
            <w:r w:rsidRPr="00E3009F">
              <w:rPr>
                <w:sz w:val="26"/>
                <w:szCs w:val="26"/>
              </w:rPr>
              <w:t>.</w:t>
            </w:r>
          </w:p>
        </w:tc>
        <w:tc>
          <w:tcPr>
            <w:tcW w:w="2872" w:type="dxa"/>
          </w:tcPr>
          <w:p w14:paraId="1D81120E"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bookmarkStart w:id="19" w:name="dieu_2"/>
            <w:r w:rsidRPr="00E3009F">
              <w:rPr>
                <w:bCs/>
                <w:sz w:val="26"/>
                <w:szCs w:val="26"/>
              </w:rPr>
              <w:lastRenderedPageBreak/>
              <w:t>Điều 2. Mức chi xây dựng quy chuẩn kỹ thuật địa phương</w:t>
            </w:r>
            <w:bookmarkEnd w:id="19"/>
          </w:p>
          <w:p w14:paraId="7B9E6C83"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1. Chi công lao động thuê ngoài đối với cán bộ, chuyên gia trực tiếp xây dựng dự thảo QCĐP </w:t>
            </w:r>
            <w:r w:rsidRPr="00E3009F">
              <w:rPr>
                <w:i/>
                <w:iCs/>
                <w:sz w:val="26"/>
                <w:szCs w:val="26"/>
              </w:rPr>
              <w:t>(nếu có)</w:t>
            </w:r>
            <w:r w:rsidRPr="00E3009F">
              <w:rPr>
                <w:sz w:val="26"/>
                <w:szCs w:val="26"/>
              </w:rPr>
              <w:t xml:space="preserve">: Mức chi 14.000.000 đồng/01 dự thảo đối với </w:t>
            </w:r>
            <w:r w:rsidRPr="00E3009F">
              <w:rPr>
                <w:sz w:val="26"/>
                <w:szCs w:val="26"/>
              </w:rPr>
              <w:lastRenderedPageBreak/>
              <w:t>QCĐP không cần phải khảo sát, khảo nghiệm; mức chi 31.000.000 đồng/01 dự thảo đối với QCĐP cần phải khảo sát, khảo nghiệm.</w:t>
            </w:r>
          </w:p>
          <w:p w14:paraId="07B5DE18"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2. Chi lập dự án QCĐP trình cấp có thẩm quyền phê duyệt, mức chi 1.000.000 đồng/01 dự án được cấp có thẩm quyền phê duyệt.</w:t>
            </w:r>
          </w:p>
          <w:p w14:paraId="671605F9"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3. Chi xây dựng thuyết minh dự thảo QCĐP, tổng hợp ý kiến góp ý dự thảo QCĐP: Áp dụng định mức chi tại Điều 7, Điều 8, Điều 9 của Quyết định số 26/2015/QĐ-UBND ban hành quy định định mức xây dựng, phân bổ dự toán và quyết toán kinh phí đối với nhiệm vụ khoa học và công nghệ có sử dụng ngân sách nhà nước trên địa bàn tỉnh Bắc Kạn </w:t>
            </w:r>
            <w:r w:rsidRPr="00E3009F">
              <w:rPr>
                <w:sz w:val="26"/>
                <w:szCs w:val="26"/>
              </w:rPr>
              <w:lastRenderedPageBreak/>
              <w:t>và </w:t>
            </w:r>
            <w:bookmarkStart w:id="20" w:name="dc_3"/>
            <w:r w:rsidRPr="00E3009F">
              <w:rPr>
                <w:sz w:val="26"/>
                <w:szCs w:val="26"/>
              </w:rPr>
              <w:t>Điều 1 Quyết định số 36/2018/QĐ-UBND</w:t>
            </w:r>
            <w:bookmarkEnd w:id="20"/>
            <w:r w:rsidRPr="00E3009F">
              <w:rPr>
                <w:sz w:val="26"/>
                <w:szCs w:val="26"/>
              </w:rPr>
              <w:t> ngày 19 tháng 11 năm 2018 của Ủy ban nhân dân tỉnh Bắc Kạn sửa đổi, bổ sung bãi bỏ một số điều tại Quy định định mức xây dựng, phân bổ dự toán và quyết toán kinh phí đối với nhiệm vụ khoa học và công nghệ có sử dụng ngân sách nhà nước trên địa bàn tỉnh Bắc Kạn ban hành theo Quyết định số 26/2015/QĐ-UBND ngày 11 tháng 12 năm 2015 của Ủy ban nhân dân tỉnh Bắc Kạn.</w:t>
            </w:r>
          </w:p>
          <w:p w14:paraId="52F017B1"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4. Chi cho công tác nghiên cứu, phân tích, đánh giá thực trạng, nghiên cứu tài liệu kỹ thuật, xây dựng báo cáo phân tích kết quả điều tra, khảo sát, khảo nghiệm, thử nghiệm phục vụ cho </w:t>
            </w:r>
            <w:r w:rsidRPr="00E3009F">
              <w:rPr>
                <w:sz w:val="26"/>
                <w:szCs w:val="26"/>
              </w:rPr>
              <w:lastRenderedPageBreak/>
              <w:t>việc xây dựng QCĐP: Áp dụng định mức chi tại </w:t>
            </w:r>
            <w:bookmarkStart w:id="21" w:name="dc_2"/>
            <w:r w:rsidRPr="00E3009F">
              <w:rPr>
                <w:sz w:val="26"/>
                <w:szCs w:val="26"/>
              </w:rPr>
              <w:t>Điều 7, Điều 8, Điều 9 của Quyết định số 26/2015/QĐ-UBND</w:t>
            </w:r>
            <w:bookmarkEnd w:id="21"/>
            <w:r w:rsidRPr="00E3009F">
              <w:rPr>
                <w:sz w:val="26"/>
                <w:szCs w:val="26"/>
              </w:rPr>
              <w:t> của Ủy ban nhân dân tỉnh Bắc Kạn ban hành quy định định mức xây dựng, phân bổ dự toán và quyết toán kinh phí đối với nhiệm vụ khoa học và công nghệ có sử dụng ngân sách nhà nước trên địa bàn tỉnh Bắc Kạn và </w:t>
            </w:r>
            <w:bookmarkStart w:id="22" w:name="dc_5"/>
            <w:r w:rsidRPr="00E3009F">
              <w:rPr>
                <w:sz w:val="26"/>
                <w:szCs w:val="26"/>
              </w:rPr>
              <w:t>Điều 1 Quyết định số 36/2018/QĐ-UBND</w:t>
            </w:r>
            <w:bookmarkEnd w:id="22"/>
            <w:r w:rsidRPr="00E3009F">
              <w:rPr>
                <w:sz w:val="26"/>
                <w:szCs w:val="26"/>
              </w:rPr>
              <w:t xml:space="preserve"> ngày 19 tháng 11 năm 2018 của Ủy ban nhân dân tỉnh Bắc Kạn sửa đổi, bổ sung bãi bỏ một số điều tại Quy định định mức xây dựng, phân bổ dự toán và quyết toán kinh phí đối với nhiệm vụ khoa học và công nghệ có sử dụng ngân sách nhà nước trên địa bàn tỉnh Bắc Kạn ban hành theo </w:t>
            </w:r>
            <w:r w:rsidRPr="00E3009F">
              <w:rPr>
                <w:sz w:val="26"/>
                <w:szCs w:val="26"/>
              </w:rPr>
              <w:lastRenderedPageBreak/>
              <w:t>Quyết định số 26/2015/QĐ-UBND ngày 11 tháng 12 năm 2015 của Ủy ban nhân dân tỉnh Bắc Kạn.</w:t>
            </w:r>
          </w:p>
          <w:p w14:paraId="5FC9D344"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5. Chi thuê chuyên gia trong nước: Áp dụng định mức quy định tại khoản 2 Điều 1 Quyết định số 36/2018/QĐ-UBND ngày 19 tháng 11 năm 2018 của Ủy ban nhân dân tỉnh Bắc Kạn sửa đổi, bổ sung, bãi bỏ một số điều tại Quy định định mức xây dựng, phân bổ dự toán và quyết toán kinh phí đối với nhiệm vụ khoa học và công nghệ có sử dụng ngân sách nhà nước trên địa bàn tỉnh Bắc Kạn ban hành theo Quyết định số 26/2015/QĐ-UBND ngày 11 tháng 12 năm 2015 của Ủy ban nhân dân tỉnh Bắc Kạn.</w:t>
            </w:r>
          </w:p>
          <w:p w14:paraId="5CBABC1B"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lastRenderedPageBreak/>
              <w:t>6. Chi thuê chuyên gia nước ngoài: Trong trường hợp phát sinh nhu cầu thuê chuyên gia nước ngoài, đơn vị căn cứ nội dung yêu cầu công việc thuê chuyên gia thực hiện thương thảo mức tiền thuê chuyên gia, thuyết minh rõ kết quả của việc thuê chuyên gia, tiêu chí đánh giá kết quả thuê chuyên gia. Tổng dự toán kinh phí thuê chuyên gia nước ngoài không vượt quá 30% tổng dự toán kinh phí của dự án xây dựng QCĐP.</w:t>
            </w:r>
          </w:p>
          <w:p w14:paraId="02CF40F0"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7. Chi lấy ý kiến nhận xét của thành viên Ban biên soạn hoặc tổ biên soạn xây dựng QCĐP, của các chuyên gia, nhà khoa học đối với dự thảo QCĐP: Mức chi là 350.000 đồng cho một thành viên đối với mỗi dự thảo QCĐP.</w:t>
            </w:r>
          </w:p>
          <w:p w14:paraId="63FAE498"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lastRenderedPageBreak/>
              <w:t>8. Chi tổ chức hội thảo khoa học, hội nghị chuyên đề, tham gia góp ý cho dự thảo QCĐP, mức chi như sau:</w:t>
            </w:r>
          </w:p>
          <w:p w14:paraId="2B2077E9"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a) Chủ trì cuộc họp: 400.000 đồng/người/buổi.</w:t>
            </w:r>
          </w:p>
          <w:p w14:paraId="17A4E436"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b) Các thành viên tham dự: 70.000 đồng/người/buổi.</w:t>
            </w:r>
          </w:p>
          <w:p w14:paraId="2BD3B8CB"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9. Chi dịch và hiệu đính tài liệu từ tiếng nước ngoài sang tiếng Việt và dịch tiếng Việt sang tiếng nước ngoài: Áp dụng định mức chi quy định tại điểm 7, khoản 3 điều 1 Thông tư số 42/2022/TT-BTC ngày 06 tháng 7 năm 2022 của Bộ trưởng Bộ Tài chính sửa đổi bổ sung một số điều của Thông tư số 338/2016/TT-BTC ngày 28 tháng 12 năm 2016 của Bộ trưởng Bộ Tài </w:t>
            </w:r>
            <w:r w:rsidRPr="00E3009F">
              <w:rPr>
                <w:sz w:val="26"/>
                <w:szCs w:val="26"/>
              </w:rPr>
              <w:lastRenderedPageBreak/>
              <w:t>Chính quy định lập dự toán quản lý, sử dụng và quyết toán kinh phí ngân sách nhà nước bảo đảm cho công tác xây dựng văn bản quy phạm pháp luật và hoàn thiện hệ thống pháp luật.</w:t>
            </w:r>
          </w:p>
          <w:p w14:paraId="74652107"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10. Chi cho hoạt động khảo sát, điều tra phục vụ công tác xây dựng dự thảo QCĐP: Áp dụng định mức chi quy định tại Nghị quyết số 10/2018/NQ-HĐND ngày 17 tháng 7 năm 2018 của Hội đồng nhân dân tỉnh Bắc Kạn quy định nội dung và mức chi thực hiện các cuộc điều tra thống kê thuộc thẩm quyền quyết định của Chủ tịch Ủy ban nhân dân tỉnh do ngân sách địa phương đảm bảo.</w:t>
            </w:r>
          </w:p>
          <w:p w14:paraId="66B10F37"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11. Chi nhận xét đánh giá phản biện hoặc thẩm tra </w:t>
            </w:r>
            <w:r w:rsidRPr="00E3009F">
              <w:rPr>
                <w:sz w:val="26"/>
                <w:szCs w:val="26"/>
              </w:rPr>
              <w:lastRenderedPageBreak/>
              <w:t>của thành viên Hội đồng thẩm tra đối với dự thảo QCĐP: Mức chi 350.000 đồng/01 báo cáo phản biện hoặc báo cáo thẩm tra.</w:t>
            </w:r>
          </w:p>
          <w:p w14:paraId="31A18C9E"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12. Chi họp hội đồng thẩm tra dự thảo QCĐP, mức chi được quy định như sau:</w:t>
            </w:r>
          </w:p>
          <w:p w14:paraId="1D9C68DC"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a) Chủ tịch Hội đồng: 700.000 đồng/người/buổi.</w:t>
            </w:r>
          </w:p>
          <w:p w14:paraId="146F8323"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b) Các thành viên Hội đồng: 350.000 đồng/người/buổi.</w:t>
            </w:r>
          </w:p>
          <w:p w14:paraId="15068692"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13. Chi công tác phí: Thực hiện theo quy định tại Nghị quyết số 39/2017/NQ-HĐND ngày 07 tháng 12 năm 2017 của Hội đồng nhân dân tỉnh Bắc Kạn quy định mức chi công tác phí, chi hội nghị của các cơ quan nhà nước, đơn vị sự nghiệp công lập, tổ </w:t>
            </w:r>
            <w:r w:rsidRPr="00E3009F">
              <w:rPr>
                <w:sz w:val="26"/>
                <w:szCs w:val="26"/>
              </w:rPr>
              <w:lastRenderedPageBreak/>
              <w:t>chức chính trị, tổ chức chính trị- xã hội, các tổ chức hội, đơn vị lực lượng vũ trang có sử dụng ngân sách tỉnh Bắc Kạn.</w:t>
            </w:r>
          </w:p>
          <w:p w14:paraId="36655300" w14:textId="77777777" w:rsidR="009A783B" w:rsidRPr="00E3009F" w:rsidRDefault="009A783B"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14. Một số nội dung, mức chi và các khoản chi khác liên quan trực tiếp đến việc xây dựng dự thảo QCĐP không quy định tại Nghị quyết này thì thực hiện theo quy định tại Thông tư 27/2020/TT-BTC ngày 17 tháng 4 năm 2020 của Bộ trưởng Bộ Tài chính hướng dẫn quản lý và sử dụng kinh phí xây dựng tiêu chuẩn quốc gia và quy chuẩn kỹ thuật và các văn bản khác có liên quan theo quy định hiện hành.</w:t>
            </w:r>
          </w:p>
          <w:p w14:paraId="74D3BCFD" w14:textId="4F12C0F3" w:rsidR="00E73AA4" w:rsidRPr="00E3009F" w:rsidRDefault="00E73AA4" w:rsidP="00A12262">
            <w:pPr>
              <w:spacing w:line="240" w:lineRule="atLeast"/>
              <w:jc w:val="both"/>
              <w:rPr>
                <w:rFonts w:cs="Times New Roman"/>
                <w:sz w:val="26"/>
                <w:szCs w:val="26"/>
              </w:rPr>
            </w:pPr>
          </w:p>
        </w:tc>
        <w:tc>
          <w:tcPr>
            <w:tcW w:w="1581" w:type="dxa"/>
          </w:tcPr>
          <w:p w14:paraId="7A0629F9" w14:textId="77777777" w:rsidR="00E73AA4" w:rsidRPr="00E3009F" w:rsidRDefault="00E73AA4" w:rsidP="00A12262">
            <w:pPr>
              <w:spacing w:line="240" w:lineRule="atLeast"/>
              <w:jc w:val="both"/>
              <w:rPr>
                <w:rFonts w:cs="Times New Roman"/>
                <w:sz w:val="26"/>
                <w:szCs w:val="26"/>
              </w:rPr>
            </w:pPr>
          </w:p>
        </w:tc>
        <w:tc>
          <w:tcPr>
            <w:tcW w:w="3119" w:type="dxa"/>
          </w:tcPr>
          <w:p w14:paraId="10D537BC" w14:textId="77777777" w:rsidR="00BE569E" w:rsidRPr="00E3009F" w:rsidRDefault="00BE569E" w:rsidP="00A12262">
            <w:pPr>
              <w:spacing w:line="240" w:lineRule="atLeast"/>
              <w:jc w:val="both"/>
              <w:rPr>
                <w:rFonts w:cs="Times New Roman"/>
                <w:bCs/>
                <w:sz w:val="26"/>
                <w:szCs w:val="26"/>
              </w:rPr>
            </w:pPr>
            <w:r w:rsidRPr="00E3009F">
              <w:rPr>
                <w:rFonts w:cs="Times New Roman"/>
                <w:bCs/>
                <w:sz w:val="26"/>
                <w:szCs w:val="26"/>
              </w:rPr>
              <w:t>Điều 3. Định mức chi thực hiện các nội dung công việc có tính chất phổ biến về hoạt động TCCS, hoạt động QCĐP</w:t>
            </w:r>
          </w:p>
          <w:p w14:paraId="5EC7F24C"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1. Chi đối với các nội dung công việc có tính chất phổ biến trong hoạt động TCCS, hoạt động QCĐP được áp </w:t>
            </w:r>
            <w:r w:rsidRPr="00E3009F">
              <w:rPr>
                <w:rFonts w:cs="Times New Roman"/>
                <w:sz w:val="26"/>
                <w:szCs w:val="26"/>
              </w:rPr>
              <w:lastRenderedPageBreak/>
              <w:t>dụng theo các định mức chi có nội dung tương tự quy định tại các văn bản quy phạm pháp luật hiện hành có liên quan, bao gồm cả:</w:t>
            </w:r>
          </w:p>
          <w:p w14:paraId="37A746FE"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a) Chi công tác phí trong nước, chi tổ chức hội nghị: áp dụng theo quy định tại Nghị quyết số 28/2025/HĐ-HĐND ngày 14 tháng 11 năm 2025 của Hội đồng nhân dân tỉnh Thái Nguyên quy định mức chi công tác phí, chi hội nghị đối với cơ quan, tổ chức, đơn vị thuộc phạm vi quản lý của tỉnh Thái Nguyên;</w:t>
            </w:r>
          </w:p>
          <w:p w14:paraId="275B6201"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b) Chi công tác phí nước ngoài: áp dụng định mức chi tại Thông tư số 140/2025/TT-BTC ngày 30 tháng 12 năm 2025 của Bộ trưởng Bộ Tài chính quy định chế độ công tác phí đi công tác ngắn hạn ở nước ngoài do ngân sách nhà nước bảo đảm kinh phí;</w:t>
            </w:r>
          </w:p>
          <w:p w14:paraId="77CB9122"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lastRenderedPageBreak/>
              <w:t>c) Chi dịch thuật, tổ chức hội nghị, hội thảo quốc tế, chi tiếp khách trong nước và quốc tế: áp dụng mức chi tại Nghị quyết số 37/2025/NQ-HĐND ngày 10 tháng 12 năm 2025 của Hội đồng nhân dân tỉnh Thái Nguyên ban hành Quy định mức chi tiếp khách nước ngoài, chi tổ chức hội nghị, hội thảo quốc tế và mức chi tiếp khách trong nước đối với các cơ quan, đơn vị thuộc phạm vi quản lý của tỉnh Thái Nguyên;</w:t>
            </w:r>
          </w:p>
          <w:p w14:paraId="578BBE36"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d) Chi điều tra, khảo sát, thu thập số liệu: áp dụng định mức chi tại Thông tư số 109/2016/TT-BTC ngày 30 tháng 6 năm 2016 của Bộ trưởng Bộ Tài chính quy định lập dự toán, quản lý, sử dụng và quyết toán kinh phí thực hiện các cuộc điều tra thống kê, Tổng điều tra thống kê quốc gia, được sửa </w:t>
            </w:r>
            <w:r w:rsidRPr="00E3009F">
              <w:rPr>
                <w:rFonts w:cs="Times New Roman"/>
                <w:sz w:val="26"/>
                <w:szCs w:val="26"/>
              </w:rPr>
              <w:lastRenderedPageBreak/>
              <w:t>đổi, bổ sung bởi Thông tư số 37/2022/TT-BTC;</w:t>
            </w:r>
          </w:p>
          <w:p w14:paraId="270CF702"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đ) Chi thuê chuyên gia tư vấn trong nước thực hiện hoạt động TCCS, hoạt động QCĐP được áp dụng theo mức lương quy định tại Thông tư số 7/2026/TT-BNV ngày 05 tháng 5 năm 2026 của Bộ trưởng Bộ Nội vụ quy định mức lương của chuyên gia tư vấn trong nước làm cơ sở xác định giá gói thầu;</w:t>
            </w:r>
          </w:p>
          <w:p w14:paraId="376CD5F4"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e) Định mức chi thuê chuyên gia là người Việt Nam định cư ở nước ngoài hoặc là người nước ngoài, đơn vị căn cứ nội dung yêu cầu công việc thuê chuyên gia thuyết minh rõ sự cần thiết, kết quả và hiệu quả của việc thuê chuyên gia để trình cơ quan có thẩm quyền phê duyệt trên cơ sở hồ sơ, tài liệu chứng minh và kết quả thương thảo về yêu cầu </w:t>
            </w:r>
            <w:r w:rsidRPr="00E3009F">
              <w:rPr>
                <w:rFonts w:cs="Times New Roman"/>
                <w:sz w:val="26"/>
                <w:szCs w:val="26"/>
              </w:rPr>
              <w:lastRenderedPageBreak/>
              <w:t>công việc và mức thù lao chuyên gia;</w:t>
            </w:r>
          </w:p>
          <w:p w14:paraId="6558BD64"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g) Chi tạo lập thông tin điện tử: thực hiện theo quy định pháp luật về quản lý đầu tư ứng dụng công nghệ thông tin, chuyển đổi số sử dụng nguồn vốn ngân sách nhà nước và quy định của pháp luật có liên quan; các định mức kinh tế - kỹ thuật trong lĩnh vực công nghệ thông tin và chuyển đổi số theo hướng dẫn của Bộ Khoa học và Công nghệ;</w:t>
            </w:r>
          </w:p>
          <w:p w14:paraId="186697AC"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h) Chi tổ chức hoạt động đào tạo nghiệp vụ về TCCS, QCĐP: thực hiện theo quy định tại Nghị quyết số 39/2025/NQ-HĐND ngày 10 tháng 12 năm 2025 của HĐND tỉnh Thái Nguyên ban hành Quy định một số mức chi cho công tác đào tạo, bồi dưỡng công chức, viên chức thuộc phạm vi </w:t>
            </w:r>
            <w:r w:rsidRPr="00E3009F">
              <w:rPr>
                <w:rFonts w:cs="Times New Roman"/>
                <w:sz w:val="26"/>
                <w:szCs w:val="26"/>
              </w:rPr>
              <w:lastRenderedPageBreak/>
              <w:t>quản lý của tỉnh Thái Nguyên;</w:t>
            </w:r>
          </w:p>
          <w:p w14:paraId="32D55C01"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i) Chi tổ chức các hoạt động tuyên truyền: thực hiện theo quy định tại Nghị định số 18/2014/NĐ-CP ngày 14 tháng 3 năm 2014 của Chính phủ quy định về chế độ nhuận bút trong lĩnh vực báo chí, xuất bản và các quy định cụ thể của tỉnh Thái Nguyên;</w:t>
            </w:r>
          </w:p>
          <w:p w14:paraId="3E3766E2"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k) Chi tôn vinh, khen thưởng cơ quan, tổ chức và cá nhân có đóng góp tích cực trong lĩnh vực tiêu chuẩn và QCĐP: thực hiện theo quy định tại Quyết định số 13/2026/QĐ-UBND ngày 20 tháng 3 năm 2026 của UBND tỉnh ban hành Quy định thi đua, khen thưởng của tỉnh Thái Nguyên;</w:t>
            </w:r>
          </w:p>
          <w:p w14:paraId="6E72C1BE"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l) Chi văn phòng phẩm, thông tin liên lạc, in ấn được xây dựng trên cơ sở nhu </w:t>
            </w:r>
            <w:r w:rsidRPr="00E3009F">
              <w:rPr>
                <w:rFonts w:cs="Times New Roman"/>
                <w:sz w:val="26"/>
                <w:szCs w:val="26"/>
              </w:rPr>
              <w:lastRenderedPageBreak/>
              <w:t>cầu, khối lượng, đơn giá theo mặt bằng giá thị trường tại thời điểm lập dự toán hoặc theo định mức hiện hành (nếu có).</w:t>
            </w:r>
          </w:p>
          <w:p w14:paraId="59851D3B" w14:textId="0E7CBA5F" w:rsidR="00E73AA4" w:rsidRPr="00E3009F" w:rsidRDefault="00BE569E" w:rsidP="00A12262">
            <w:pPr>
              <w:spacing w:line="240" w:lineRule="atLeast"/>
              <w:jc w:val="both"/>
              <w:rPr>
                <w:rFonts w:cs="Times New Roman"/>
                <w:sz w:val="26"/>
                <w:szCs w:val="26"/>
              </w:rPr>
            </w:pPr>
            <w:r w:rsidRPr="00E3009F">
              <w:rPr>
                <w:rFonts w:cs="Times New Roman"/>
                <w:spacing w:val="-2"/>
                <w:sz w:val="26"/>
                <w:szCs w:val="26"/>
              </w:rPr>
              <w:t>2. Ngoài các định mức chi quy định tại khoản 1 Điều này, định mức chi đối với các nội dung công việc có tính chất chuyên môn của hoạt động TCCS, hoạt động QCĐP được quy định từ Điều 4 đến Điều 9 Nghị quyết này.</w:t>
            </w:r>
          </w:p>
        </w:tc>
        <w:tc>
          <w:tcPr>
            <w:tcW w:w="1816" w:type="dxa"/>
          </w:tcPr>
          <w:p w14:paraId="62BF504D" w14:textId="6E4A29E9" w:rsidR="00DB5155" w:rsidRPr="00E3009F" w:rsidRDefault="00391BAD" w:rsidP="00391BAD">
            <w:pPr>
              <w:spacing w:line="240" w:lineRule="atLeast"/>
              <w:jc w:val="both"/>
              <w:rPr>
                <w:rFonts w:cs="Times New Roman"/>
                <w:spacing w:val="-8"/>
                <w:sz w:val="26"/>
                <w:szCs w:val="26"/>
              </w:rPr>
            </w:pPr>
            <w:r w:rsidRPr="00E3009F">
              <w:rPr>
                <w:rFonts w:cs="Times New Roman"/>
                <w:spacing w:val="-8"/>
                <w:sz w:val="26"/>
                <w:szCs w:val="26"/>
              </w:rPr>
              <w:lastRenderedPageBreak/>
              <w:t>Các nội dung Thông tư quy định mức chi cụ thể, Nghị quyết quy định m</w:t>
            </w:r>
            <w:r w:rsidR="00DB5155" w:rsidRPr="00E3009F">
              <w:rPr>
                <w:rFonts w:cs="Times New Roman"/>
                <w:spacing w:val="-8"/>
                <w:sz w:val="26"/>
                <w:szCs w:val="26"/>
              </w:rPr>
              <w:t xml:space="preserve">ức chi bằng 80% mức </w:t>
            </w:r>
            <w:r w:rsidR="000469A0" w:rsidRPr="00E3009F">
              <w:rPr>
                <w:rFonts w:cs="Times New Roman"/>
                <w:spacing w:val="-8"/>
                <w:sz w:val="26"/>
                <w:szCs w:val="26"/>
              </w:rPr>
              <w:t xml:space="preserve">chi </w:t>
            </w:r>
            <w:r w:rsidR="00DB5155" w:rsidRPr="00E3009F">
              <w:rPr>
                <w:rFonts w:cs="Times New Roman"/>
                <w:spacing w:val="-8"/>
                <w:sz w:val="26"/>
                <w:szCs w:val="26"/>
              </w:rPr>
              <w:t>của Thông tư</w:t>
            </w:r>
          </w:p>
        </w:tc>
      </w:tr>
      <w:tr w:rsidR="00E3009F" w:rsidRPr="00E3009F" w14:paraId="53013AAB" w14:textId="77777777" w:rsidTr="00A12262">
        <w:trPr>
          <w:trHeight w:val="684"/>
          <w:jc w:val="center"/>
        </w:trPr>
        <w:tc>
          <w:tcPr>
            <w:tcW w:w="851" w:type="dxa"/>
          </w:tcPr>
          <w:p w14:paraId="686EE81D" w14:textId="77777777" w:rsidR="00E73AA4" w:rsidRPr="00E3009F" w:rsidRDefault="00E73AA4" w:rsidP="00A12262">
            <w:pPr>
              <w:spacing w:line="240" w:lineRule="atLeast"/>
              <w:jc w:val="both"/>
              <w:rPr>
                <w:rFonts w:cs="Times New Roman"/>
                <w:sz w:val="26"/>
                <w:szCs w:val="26"/>
              </w:rPr>
            </w:pPr>
          </w:p>
        </w:tc>
        <w:tc>
          <w:tcPr>
            <w:tcW w:w="1573" w:type="dxa"/>
          </w:tcPr>
          <w:p w14:paraId="01CB8565" w14:textId="77777777" w:rsidR="00E73AA4" w:rsidRPr="00E3009F" w:rsidRDefault="00E73AA4" w:rsidP="00A12262">
            <w:pPr>
              <w:spacing w:line="240" w:lineRule="atLeast"/>
              <w:jc w:val="both"/>
              <w:rPr>
                <w:rFonts w:cs="Times New Roman"/>
                <w:sz w:val="26"/>
                <w:szCs w:val="26"/>
              </w:rPr>
            </w:pPr>
          </w:p>
        </w:tc>
        <w:tc>
          <w:tcPr>
            <w:tcW w:w="3550" w:type="dxa"/>
          </w:tcPr>
          <w:p w14:paraId="289001E6" w14:textId="121DE5D3"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bookmarkStart w:id="23" w:name="dieu_13"/>
            <w:r w:rsidRPr="00E3009F">
              <w:rPr>
                <w:bCs/>
                <w:sz w:val="26"/>
                <w:szCs w:val="26"/>
              </w:rPr>
              <w:t xml:space="preserve">Điều 13. Định mức chi thực hiện nội dung chuyên môn về xây dựng và thực hiện chiến lược </w:t>
            </w:r>
            <w:r w:rsidRPr="00E3009F">
              <w:rPr>
                <w:bCs/>
                <w:sz w:val="26"/>
                <w:szCs w:val="26"/>
              </w:rPr>
              <w:lastRenderedPageBreak/>
              <w:t>tiêu chuẩn quốc gia, kế hoạch xây dựng tiêu chuẩn quốc gia, kế hoạch xây dựng quy chuẩn kỹ thuật</w:t>
            </w:r>
            <w:bookmarkEnd w:id="23"/>
          </w:p>
          <w:p w14:paraId="37A5A567"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Ngoài các định mức chi quy định tại </w:t>
            </w:r>
            <w:bookmarkStart w:id="24" w:name="tc_3"/>
            <w:r w:rsidRPr="00E3009F">
              <w:rPr>
                <w:sz w:val="26"/>
                <w:szCs w:val="26"/>
              </w:rPr>
              <w:t>Điều 12 Thông tư này</w:t>
            </w:r>
            <w:bookmarkEnd w:id="24"/>
            <w:r w:rsidRPr="00E3009F">
              <w:rPr>
                <w:sz w:val="26"/>
                <w:szCs w:val="26"/>
              </w:rPr>
              <w:t> đối với một số nội dung công việc có tính chất phổ biến quy định tại </w:t>
            </w:r>
            <w:bookmarkStart w:id="25" w:name="tc_4"/>
            <w:r w:rsidRPr="00E3009F">
              <w:rPr>
                <w:sz w:val="26"/>
                <w:szCs w:val="26"/>
              </w:rPr>
              <w:t>khoản 1 Điều 5 Thông tư này</w:t>
            </w:r>
            <w:bookmarkEnd w:id="25"/>
            <w:r w:rsidRPr="00E3009F">
              <w:rPr>
                <w:sz w:val="26"/>
                <w:szCs w:val="26"/>
              </w:rPr>
              <w:t>, định mức chi đối với một số nội dung công việc chuyên môn về xây dựng và thực hiện chiến lược tiêu chuẩn quốc gia, kế hoạch xây dựng tiêu chuẩn quốc gia, kế hoạch xây dựng quy chuẩn kỹ thuật được quy định như sau:</w:t>
            </w:r>
          </w:p>
          <w:p w14:paraId="68C739E1"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1. Định mức chi nghiên cứu kinh nghiệm quốc tế, khu vực, nước ngoài, đánh giá thực trạng, biên soạn dự thảo chiến lược tiêu chuẩn quốc gia: được áp dụng định mức chi được quy định tại Thông tư số </w:t>
            </w:r>
            <w:bookmarkStart w:id="26" w:name="tvpllink_hujhzuvcdx_1"/>
            <w:r w:rsidRPr="00E3009F">
              <w:rPr>
                <w:sz w:val="26"/>
                <w:szCs w:val="26"/>
              </w:rPr>
              <w:fldChar w:fldCharType="begin"/>
            </w:r>
            <w:r w:rsidRPr="00E3009F">
              <w:rPr>
                <w:sz w:val="26"/>
                <w:szCs w:val="26"/>
              </w:rPr>
              <w:instrText xml:space="preserve"> HYPERLINK "https://thuvienphapluat.vn/van-ban/Tai-chinh-nha-nuoc/Thong-tu-39-2025-TT-BKHCN-lap-du-toan-chi-ngan-sach-nha-nuoc-thuc-hien-nhiem-vu-khoa-hoc-687144.aspx" \t "_blank" </w:instrText>
            </w:r>
            <w:r w:rsidRPr="00E3009F">
              <w:rPr>
                <w:sz w:val="26"/>
                <w:szCs w:val="26"/>
              </w:rPr>
              <w:fldChar w:fldCharType="separate"/>
            </w:r>
            <w:r w:rsidRPr="00E3009F">
              <w:rPr>
                <w:rStyle w:val="Siuktni"/>
                <w:color w:val="auto"/>
                <w:sz w:val="26"/>
                <w:szCs w:val="26"/>
                <w:u w:val="none"/>
              </w:rPr>
              <w:t>39/2025/TT-BKHCN</w:t>
            </w:r>
            <w:r w:rsidRPr="00E3009F">
              <w:rPr>
                <w:sz w:val="26"/>
                <w:szCs w:val="26"/>
              </w:rPr>
              <w:fldChar w:fldCharType="end"/>
            </w:r>
            <w:bookmarkEnd w:id="26"/>
            <w:r w:rsidRPr="00E3009F">
              <w:rPr>
                <w:sz w:val="26"/>
                <w:szCs w:val="26"/>
              </w:rPr>
              <w:t xml:space="preserve">; trong đó thù lao nghiên cứu được xác định theo hệ số, phương pháp </w:t>
            </w:r>
            <w:r w:rsidRPr="00E3009F">
              <w:rPr>
                <w:sz w:val="26"/>
                <w:szCs w:val="26"/>
              </w:rPr>
              <w:lastRenderedPageBreak/>
              <w:t>xác định và mức thù lao đối với các chức danh được quy định tại </w:t>
            </w:r>
            <w:bookmarkStart w:id="27" w:name="dc_4"/>
            <w:r w:rsidRPr="00E3009F">
              <w:rPr>
                <w:sz w:val="26"/>
                <w:szCs w:val="26"/>
              </w:rPr>
              <w:t>Điều 9 và Điều 10 Thông tư số 39/2025/TT-BKHCN</w:t>
            </w:r>
            <w:bookmarkEnd w:id="27"/>
            <w:r w:rsidRPr="00E3009F">
              <w:rPr>
                <w:sz w:val="26"/>
                <w:szCs w:val="26"/>
              </w:rPr>
              <w:t>.</w:t>
            </w:r>
          </w:p>
          <w:p w14:paraId="3E04684C"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Căn cứ tính chất, khối lượng, mức độ phức tạp của công việc và yêu cầu về chất lượng sản phẩm, đơn vị chủ trì xác định số ngày công làm cơ sở tính thù lao cho các thành viên tham gia; việc xác định phải gắn với nội dung công việc và sản phẩm cụ thể, có thuyết minh rõ căn cứ; kết quả xác định được trình cấp có thẩm quyền phê duyệt, bảo đảm tiết kiệm, hiệu quả.</w:t>
            </w:r>
          </w:p>
          <w:p w14:paraId="4A21F33E"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2. Định mức chi biên soạn dự án xây dựng tiêu chuẩn quốc gia cho từng đối tượng hoặc nhóm đối tượng, lĩnh vực làm căn cứ xét duyệt để đưa vào kế hoạch xây dựng tiêu chuẩn quốc gia; chi biên soạn bản đề xuất xây dựng quy chuẩn kỹ thuật làm căn cứ xét duyệt để đưa vào kế hoạch xây dựng quy chuẩn kỹ thuật: tối đa 1.800.000 đồng/01 </w:t>
            </w:r>
            <w:r w:rsidRPr="00E3009F">
              <w:rPr>
                <w:sz w:val="26"/>
                <w:szCs w:val="26"/>
              </w:rPr>
              <w:lastRenderedPageBreak/>
              <w:t>dự án, bản đề xuất được cấp có thẩm quyền phê duyệt.</w:t>
            </w:r>
          </w:p>
          <w:p w14:paraId="137D5DE1"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3. Chi lấy ý kiến chuyên gia, nhà khoa học đối với dự thảo chiến lược tiêu chuẩn quốc gia: 500.000 đồng/01 phiếu ý kiến;</w:t>
            </w:r>
          </w:p>
          <w:p w14:paraId="4B8737BC"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4. Chi tổng hợp xử lý ý kiến góp ý đối với dự thảo chiến lược tiêu chuẩn quốc gia: 1.500.000 đồng/bảng tổng hợp;</w:t>
            </w:r>
          </w:p>
          <w:p w14:paraId="1D720D94"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5. Chi tổ chức hội thảo chuyên đề góp ý đối với dự thảo chiến lược tiêu chuẩn quốc gia:</w:t>
            </w:r>
          </w:p>
          <w:p w14:paraId="3B7F97EB"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Chủ trì: 1.500.000 đồng/buổi;</w:t>
            </w:r>
          </w:p>
          <w:p w14:paraId="28F3F235"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Thư ký: 700.000 đồng/buổi;</w:t>
            </w:r>
          </w:p>
          <w:p w14:paraId="319F9AF2"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Đại biểu tham dự: 300.000 đồng/người/buổi.</w:t>
            </w:r>
          </w:p>
          <w:p w14:paraId="5307F886"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6. Định mức chi xét duyệt dự án xây dựng tiêu chuẩn quốc gia phục vụ lập kế hoạch xây dựng tiêu chuẩn quốc gia; xét duyệt đề xuất xây dựng quy chuẩn kỹ thuật phục vụ lập kế hoạch xây dựng quy chuẩn kỹ thuật:</w:t>
            </w:r>
          </w:p>
          <w:p w14:paraId="73D618E0"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Chủ trì: 1.500.000 đồng/buổi;</w:t>
            </w:r>
          </w:p>
          <w:p w14:paraId="77852E4D" w14:textId="77777777" w:rsidR="00B0511F"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Thành viên: 700.000 đồng/người/buổi.</w:t>
            </w:r>
          </w:p>
          <w:p w14:paraId="77C91388" w14:textId="20068B73" w:rsidR="00E73AA4" w:rsidRPr="00E3009F" w:rsidRDefault="00B0511F"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lastRenderedPageBreak/>
              <w:t>7. Các khoản chi thực hiện nhiệm vụ, giải pháp của chiến lược, kế hoạch: thực hiện theo nội dung chi, định mức chi quy định tại Thông tư này và các văn bản pháp luật hiện hành có liên quan.</w:t>
            </w:r>
          </w:p>
        </w:tc>
        <w:tc>
          <w:tcPr>
            <w:tcW w:w="2872" w:type="dxa"/>
          </w:tcPr>
          <w:p w14:paraId="77FF502D" w14:textId="682DF72C" w:rsidR="00E73AA4" w:rsidRPr="00E3009F" w:rsidRDefault="00E73AA4" w:rsidP="00A12262">
            <w:pPr>
              <w:spacing w:line="240" w:lineRule="atLeast"/>
              <w:jc w:val="both"/>
              <w:rPr>
                <w:rFonts w:cs="Times New Roman"/>
                <w:spacing w:val="-6"/>
                <w:sz w:val="26"/>
                <w:szCs w:val="26"/>
              </w:rPr>
            </w:pPr>
          </w:p>
        </w:tc>
        <w:tc>
          <w:tcPr>
            <w:tcW w:w="1581" w:type="dxa"/>
          </w:tcPr>
          <w:p w14:paraId="18B3C45D" w14:textId="77777777" w:rsidR="00E73AA4" w:rsidRPr="00E3009F" w:rsidRDefault="00E73AA4" w:rsidP="00A12262">
            <w:pPr>
              <w:spacing w:line="240" w:lineRule="atLeast"/>
              <w:jc w:val="both"/>
              <w:rPr>
                <w:rFonts w:cs="Times New Roman"/>
                <w:sz w:val="26"/>
                <w:szCs w:val="26"/>
              </w:rPr>
            </w:pPr>
          </w:p>
        </w:tc>
        <w:tc>
          <w:tcPr>
            <w:tcW w:w="3119" w:type="dxa"/>
          </w:tcPr>
          <w:p w14:paraId="1ED5B294" w14:textId="59016FAA"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Điều 4. Định mức chi xây dựng kế hoạch xây dựng </w:t>
            </w:r>
            <w:r w:rsidRPr="00E3009F">
              <w:rPr>
                <w:rFonts w:cs="Times New Roman"/>
                <w:sz w:val="26"/>
                <w:szCs w:val="26"/>
              </w:rPr>
              <w:lastRenderedPageBreak/>
              <w:t>TCCS, kế hoạch xây dựng QCĐP</w:t>
            </w:r>
          </w:p>
          <w:p w14:paraId="073090F1"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Ngoài các định mức chi quy định tại Điều 3 Nghị quyết này đối với một số nội dung công việc có tính chất phổ biến quy định tại khoản 1 Điều 5 Thông tư số 23/2026/TT-BKHCN, định mức chi đối với một số nội dung công việc chuyên môn về xây dựng kế hoạch xây dựng TCCS, kế hoạch xây dựng QCĐP được quy định như sau:</w:t>
            </w:r>
          </w:p>
          <w:p w14:paraId="6D35115D"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1. Định mức chi biên soạn dự án xây dựng TCCS cho từng đối tượng hoặc nhóm đối tượng, lĩnh vực làm căn cứ xét duyệt để đưa vào kế hoạch xây dựng TCCS; chi biên soạn bản đề xuất xây dựng QCĐP làm căn cứ xét duyệt để đưa vào kế hoạch xây dựng QCĐP: 1.440.000 đồng/01 dự án, bản đề xuất </w:t>
            </w:r>
            <w:r w:rsidRPr="00E3009F">
              <w:rPr>
                <w:rFonts w:cs="Times New Roman"/>
                <w:sz w:val="26"/>
                <w:szCs w:val="26"/>
              </w:rPr>
              <w:lastRenderedPageBreak/>
              <w:t>được cấp có thẩm quyền phê duyệt.</w:t>
            </w:r>
          </w:p>
          <w:p w14:paraId="27E8163F"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2. Định mức chi xét duyệt dự án xây dựng TCCS phục vụ lập kế hoạch xây dựng TCCS; xét duyệt đề xuất xây dựng QCĐP phục vụ lập kế hoạch xây dựng QCĐP:</w:t>
            </w:r>
          </w:p>
          <w:p w14:paraId="0DAA334D"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Chủ trì: 1.200.000 đồng/buổi;</w:t>
            </w:r>
          </w:p>
          <w:p w14:paraId="4380DA8F" w14:textId="7A54AC2E" w:rsidR="00E73AA4" w:rsidRPr="00E3009F" w:rsidRDefault="00BE569E" w:rsidP="00A12262">
            <w:pPr>
              <w:spacing w:line="240" w:lineRule="atLeast"/>
              <w:jc w:val="both"/>
              <w:rPr>
                <w:rFonts w:cs="Times New Roman"/>
                <w:sz w:val="26"/>
                <w:szCs w:val="26"/>
              </w:rPr>
            </w:pPr>
            <w:r w:rsidRPr="00E3009F">
              <w:rPr>
                <w:rFonts w:cs="Times New Roman"/>
                <w:sz w:val="26"/>
                <w:szCs w:val="26"/>
              </w:rPr>
              <w:t>Thành viên: 560.000 đồng/người/buổi.</w:t>
            </w:r>
          </w:p>
        </w:tc>
        <w:tc>
          <w:tcPr>
            <w:tcW w:w="1816" w:type="dxa"/>
          </w:tcPr>
          <w:p w14:paraId="414D7152" w14:textId="2FE0E5DB" w:rsidR="00E73AA4" w:rsidRPr="00E3009F" w:rsidRDefault="000469A0" w:rsidP="00406205">
            <w:pPr>
              <w:spacing w:line="240" w:lineRule="atLeast"/>
              <w:jc w:val="both"/>
              <w:rPr>
                <w:rFonts w:cs="Times New Roman"/>
                <w:spacing w:val="-8"/>
                <w:sz w:val="26"/>
                <w:szCs w:val="26"/>
              </w:rPr>
            </w:pPr>
            <w:r w:rsidRPr="00E3009F">
              <w:rPr>
                <w:rFonts w:cs="Times New Roman"/>
                <w:spacing w:val="-8"/>
                <w:sz w:val="26"/>
                <w:szCs w:val="26"/>
              </w:rPr>
              <w:lastRenderedPageBreak/>
              <w:t>Mức chi bằng 80% mức chi của Thông tư</w:t>
            </w:r>
          </w:p>
        </w:tc>
      </w:tr>
      <w:tr w:rsidR="00E3009F" w:rsidRPr="00E3009F" w14:paraId="361E8473" w14:textId="77777777" w:rsidTr="00A12262">
        <w:trPr>
          <w:trHeight w:val="684"/>
          <w:jc w:val="center"/>
        </w:trPr>
        <w:tc>
          <w:tcPr>
            <w:tcW w:w="851" w:type="dxa"/>
          </w:tcPr>
          <w:p w14:paraId="1D2FDD1F" w14:textId="77777777" w:rsidR="00E73AA4" w:rsidRPr="00E3009F" w:rsidRDefault="00E73AA4" w:rsidP="00A12262">
            <w:pPr>
              <w:spacing w:line="240" w:lineRule="atLeast"/>
              <w:jc w:val="both"/>
              <w:rPr>
                <w:rFonts w:cs="Times New Roman"/>
                <w:sz w:val="26"/>
                <w:szCs w:val="26"/>
              </w:rPr>
            </w:pPr>
          </w:p>
        </w:tc>
        <w:tc>
          <w:tcPr>
            <w:tcW w:w="1573" w:type="dxa"/>
          </w:tcPr>
          <w:p w14:paraId="5042B19F" w14:textId="77777777" w:rsidR="00E73AA4" w:rsidRPr="00E3009F" w:rsidRDefault="00E73AA4" w:rsidP="00A12262">
            <w:pPr>
              <w:spacing w:line="240" w:lineRule="atLeast"/>
              <w:jc w:val="both"/>
              <w:rPr>
                <w:rFonts w:cs="Times New Roman"/>
                <w:sz w:val="26"/>
                <w:szCs w:val="26"/>
              </w:rPr>
            </w:pPr>
          </w:p>
        </w:tc>
        <w:tc>
          <w:tcPr>
            <w:tcW w:w="3550" w:type="dxa"/>
          </w:tcPr>
          <w:p w14:paraId="4D2897A3" w14:textId="3BD43C95"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bookmarkStart w:id="28" w:name="dieu_14"/>
            <w:r w:rsidRPr="00E3009F">
              <w:rPr>
                <w:bCs/>
                <w:sz w:val="26"/>
                <w:szCs w:val="26"/>
              </w:rPr>
              <w:t>Điều 14. Định mức chi thực hiện nội dung chuyên môn về phổ biến tiêu chuẩn, quy chuẩn kỹ thuật</w:t>
            </w:r>
            <w:bookmarkEnd w:id="28"/>
          </w:p>
          <w:p w14:paraId="294E243A"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Ngoài các định mức chi quy định tại </w:t>
            </w:r>
            <w:bookmarkStart w:id="29" w:name="tc_5"/>
            <w:r w:rsidRPr="00E3009F">
              <w:rPr>
                <w:sz w:val="26"/>
                <w:szCs w:val="26"/>
              </w:rPr>
              <w:t>Điều 12 Thông tư này</w:t>
            </w:r>
            <w:bookmarkEnd w:id="29"/>
            <w:r w:rsidRPr="00E3009F">
              <w:rPr>
                <w:sz w:val="26"/>
                <w:szCs w:val="26"/>
              </w:rPr>
              <w:t> đối với một số nội dung công việc có tính chất phổ biến quy định tại </w:t>
            </w:r>
            <w:bookmarkStart w:id="30" w:name="tc_6"/>
            <w:r w:rsidRPr="00E3009F">
              <w:rPr>
                <w:sz w:val="26"/>
                <w:szCs w:val="26"/>
              </w:rPr>
              <w:t>khoản 2 Điều 5 Thông tư này</w:t>
            </w:r>
            <w:bookmarkEnd w:id="30"/>
            <w:r w:rsidRPr="00E3009F">
              <w:rPr>
                <w:sz w:val="26"/>
                <w:szCs w:val="26"/>
              </w:rPr>
              <w:t>, định mức chi đối với một số nội dung công việc chuyên môn về phổ biến tiêu chuẩn, quy chuẩn kỹ thuật được quy định như sau:</w:t>
            </w:r>
          </w:p>
          <w:p w14:paraId="35D0A102"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1. Định mức chi soạn thảo kế hoạch phổ biến tiêu chuẩn quốc gia, quy chuẩn kỹ thuật: tối đa 2.000.000 đồng/kế hoạch được duyệt.</w:t>
            </w:r>
          </w:p>
          <w:p w14:paraId="1FBD9EB3"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lastRenderedPageBreak/>
              <w:t>2. Chi thuê tổ chức, cá nhân sáng tạo nội dung sản xuất, xuất bản các sản phẩm truyền thông để phổ biến tiêu chuẩn quốc gia, quy chuẩn kỹ thuật trên các nền tảng số, mạng xã hội: được xác định theo giá niêm yết hoặc báo giá hoặc yêu cầu của tổ chức, cá nhân được thuê, báo cáo cơ quan có thẩm quyền xét duyệt; bảo đảm tiết kiệm, hiệu quả.</w:t>
            </w:r>
          </w:p>
          <w:p w14:paraId="487DEBC1"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3. Chi tổ chức các hoạt động phổ biến tiêu chuẩn quốc gia, quy chuẩn kỹ thuật, bao gồm cả việc tổ chức các cuộc thi, hội thi: áp dụng định mức chi tương tự được quy định tại Thông tư số </w:t>
            </w:r>
            <w:bookmarkStart w:id="31" w:name="tvpllink_gjziwczoav"/>
            <w:r w:rsidRPr="00E3009F">
              <w:rPr>
                <w:sz w:val="26"/>
                <w:szCs w:val="26"/>
              </w:rPr>
              <w:fldChar w:fldCharType="begin"/>
            </w:r>
            <w:r w:rsidRPr="00E3009F">
              <w:rPr>
                <w:sz w:val="26"/>
                <w:szCs w:val="26"/>
              </w:rPr>
              <w:instrText xml:space="preserve"> HYPERLINK "https://thuvienphapluat.vn/van-ban/Bo-may-hanh-chinh/Thong-tu-56-2023-TT-BTC-lap-du-toan-kinh-phi-bao-dam-cho-pho-bien-giao-duc-phap-luat-577311.aspx" \t "_blank" </w:instrText>
            </w:r>
            <w:r w:rsidRPr="00E3009F">
              <w:rPr>
                <w:sz w:val="26"/>
                <w:szCs w:val="26"/>
              </w:rPr>
              <w:fldChar w:fldCharType="separate"/>
            </w:r>
            <w:r w:rsidRPr="00E3009F">
              <w:rPr>
                <w:rStyle w:val="Siuktni"/>
                <w:color w:val="auto"/>
                <w:sz w:val="26"/>
                <w:szCs w:val="26"/>
                <w:u w:val="none"/>
              </w:rPr>
              <w:t>56/2023/TT-BTC</w:t>
            </w:r>
            <w:r w:rsidRPr="00E3009F">
              <w:rPr>
                <w:sz w:val="26"/>
                <w:szCs w:val="26"/>
              </w:rPr>
              <w:fldChar w:fldCharType="end"/>
            </w:r>
            <w:bookmarkEnd w:id="31"/>
            <w:r w:rsidRPr="00E3009F">
              <w:rPr>
                <w:sz w:val="26"/>
                <w:szCs w:val="26"/>
              </w:rPr>
              <w:t> ngày 18 tháng 8 năm 2023 của Bộ trưởng Bộ Tài chính quy định việc lập dự toán, quản lý, sử dụng và quyết toán kinh phí bảo đảm cho công tác phổ biến, giáo dục pháp luật, chuẩn tiếp cận pháp luật và hòa giải ở cơ sở.</w:t>
            </w:r>
          </w:p>
          <w:p w14:paraId="29A505EB" w14:textId="77777777" w:rsidR="00E73AA4" w:rsidRPr="00E3009F" w:rsidRDefault="00E73AA4" w:rsidP="00A12262">
            <w:pPr>
              <w:spacing w:line="240" w:lineRule="atLeast"/>
              <w:jc w:val="both"/>
              <w:rPr>
                <w:rFonts w:cs="Times New Roman"/>
                <w:sz w:val="26"/>
                <w:szCs w:val="26"/>
              </w:rPr>
            </w:pPr>
          </w:p>
        </w:tc>
        <w:tc>
          <w:tcPr>
            <w:tcW w:w="2872" w:type="dxa"/>
          </w:tcPr>
          <w:p w14:paraId="3AE0C417" w14:textId="46703A76" w:rsidR="00E73AA4" w:rsidRPr="00E3009F" w:rsidRDefault="00E73AA4" w:rsidP="00A12262">
            <w:pPr>
              <w:spacing w:line="240" w:lineRule="atLeast"/>
              <w:jc w:val="both"/>
              <w:rPr>
                <w:rFonts w:cs="Times New Roman"/>
                <w:spacing w:val="-6"/>
                <w:sz w:val="26"/>
                <w:szCs w:val="26"/>
              </w:rPr>
            </w:pPr>
          </w:p>
        </w:tc>
        <w:tc>
          <w:tcPr>
            <w:tcW w:w="1581" w:type="dxa"/>
          </w:tcPr>
          <w:p w14:paraId="5BCF7747" w14:textId="77777777" w:rsidR="00E73AA4" w:rsidRPr="00E3009F" w:rsidRDefault="00E73AA4" w:rsidP="00A12262">
            <w:pPr>
              <w:spacing w:line="240" w:lineRule="atLeast"/>
              <w:jc w:val="both"/>
              <w:rPr>
                <w:rFonts w:cs="Times New Roman"/>
                <w:sz w:val="26"/>
                <w:szCs w:val="26"/>
              </w:rPr>
            </w:pPr>
          </w:p>
        </w:tc>
        <w:tc>
          <w:tcPr>
            <w:tcW w:w="3119" w:type="dxa"/>
          </w:tcPr>
          <w:p w14:paraId="0C2E5D58"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Điều 5. Định mức chi thực hiện nội dung chuyên môn về phổ biến TCCS, QCĐP</w:t>
            </w:r>
          </w:p>
          <w:p w14:paraId="69BFBDAD"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Ngoài các định mức chi quy định tại Điều 3 Nghị quyết này đối với một số nội dung công việc có tính chất phổ biến quy định tại khoản 2 Điều 5 Thông tư số 23/2026/TT-BKHCN, định mức chi đối với một số nội dung công việc chuyên môn về phổ biến TCCS, QCĐP được quy định như sau:</w:t>
            </w:r>
          </w:p>
          <w:p w14:paraId="7BDC8556"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1. Định mức chi soạn thảo kế hoạch phổ biến TCCS, QCĐP: 1.600.000 đồng/kế hoạch được duyệt.</w:t>
            </w:r>
          </w:p>
          <w:p w14:paraId="55F43F3C"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2. Chi thuê tổ chức, cá nhân sáng tạo nội dung sản xuất, </w:t>
            </w:r>
            <w:r w:rsidRPr="00E3009F">
              <w:rPr>
                <w:rFonts w:cs="Times New Roman"/>
                <w:sz w:val="26"/>
                <w:szCs w:val="26"/>
              </w:rPr>
              <w:lastRenderedPageBreak/>
              <w:t>xuất bản các sản phẩm truyền thông để phổ biến TCCS, QCĐP trên các nền tảng số, mạng xã hội: được xác định theo giá niêm yết hoặc báo giá hoặc yêu cầu của tổ chức, cá nhân được thuê, báo cáo cơ quan có thẩm quyền xét duyệt; bảo đảm tiết kiệm, hiệu quả.</w:t>
            </w:r>
          </w:p>
          <w:p w14:paraId="411FBF3A" w14:textId="7FF65481" w:rsidR="00E73AA4" w:rsidRPr="00E3009F" w:rsidRDefault="00BE569E" w:rsidP="00A12262">
            <w:pPr>
              <w:spacing w:line="240" w:lineRule="atLeast"/>
              <w:jc w:val="both"/>
              <w:rPr>
                <w:rFonts w:cs="Times New Roman"/>
                <w:sz w:val="26"/>
                <w:szCs w:val="26"/>
              </w:rPr>
            </w:pPr>
            <w:r w:rsidRPr="00E3009F">
              <w:rPr>
                <w:rFonts w:cs="Times New Roman"/>
                <w:sz w:val="26"/>
                <w:szCs w:val="26"/>
              </w:rPr>
              <w:t>3. Chi tổ chức các hoạt động phổ biến TCCS, QCĐP: áp dụng định mức chi tương tự được quy định tại Thông tư số 56/2023/TT-BTC ngày 18 tháng 8 năm 2023 của Bộ trưởng Bộ Tài chính quy định việc lập dự toán, quản lý, sử dụng và quyết toán kinh phí bảo đảm cho công tác phổ biến, giáo dục pháp luật, chuẩn tiếp cận pháp luật và hòa giải ở cơ sở và các quy định khác của tỉnh Thái Nguyên.</w:t>
            </w:r>
          </w:p>
        </w:tc>
        <w:tc>
          <w:tcPr>
            <w:tcW w:w="1816" w:type="dxa"/>
          </w:tcPr>
          <w:p w14:paraId="79F7E524" w14:textId="2F4A2F60" w:rsidR="00E73AA4" w:rsidRPr="00E3009F" w:rsidRDefault="00DE354F" w:rsidP="00DE354F">
            <w:pPr>
              <w:spacing w:line="240" w:lineRule="atLeast"/>
              <w:jc w:val="both"/>
              <w:rPr>
                <w:rFonts w:cs="Times New Roman"/>
                <w:spacing w:val="-8"/>
                <w:sz w:val="26"/>
                <w:szCs w:val="26"/>
              </w:rPr>
            </w:pPr>
            <w:r w:rsidRPr="00E3009F">
              <w:rPr>
                <w:rFonts w:cs="Times New Roman"/>
                <w:spacing w:val="-8"/>
                <w:sz w:val="26"/>
                <w:szCs w:val="26"/>
              </w:rPr>
              <w:lastRenderedPageBreak/>
              <w:t>Nội dung Thông tư quy định mức chi cụ thể, Nghị quyết quy định mức chi bằng 80% mức chi của Thông tư</w:t>
            </w:r>
          </w:p>
        </w:tc>
      </w:tr>
      <w:tr w:rsidR="00E3009F" w:rsidRPr="00E3009F" w14:paraId="775221D6" w14:textId="77777777" w:rsidTr="00A12262">
        <w:trPr>
          <w:trHeight w:val="684"/>
          <w:jc w:val="center"/>
        </w:trPr>
        <w:tc>
          <w:tcPr>
            <w:tcW w:w="851" w:type="dxa"/>
          </w:tcPr>
          <w:p w14:paraId="296B6CE9" w14:textId="77777777" w:rsidR="00E73AA4" w:rsidRPr="00E3009F" w:rsidRDefault="00E73AA4" w:rsidP="00A12262">
            <w:pPr>
              <w:spacing w:line="240" w:lineRule="atLeast"/>
              <w:jc w:val="both"/>
              <w:rPr>
                <w:rFonts w:cs="Times New Roman"/>
                <w:sz w:val="26"/>
                <w:szCs w:val="26"/>
              </w:rPr>
            </w:pPr>
          </w:p>
        </w:tc>
        <w:tc>
          <w:tcPr>
            <w:tcW w:w="1573" w:type="dxa"/>
          </w:tcPr>
          <w:p w14:paraId="193DF745" w14:textId="77777777" w:rsidR="00E73AA4" w:rsidRPr="00E3009F" w:rsidRDefault="00E73AA4" w:rsidP="00A12262">
            <w:pPr>
              <w:spacing w:line="240" w:lineRule="atLeast"/>
              <w:jc w:val="both"/>
              <w:rPr>
                <w:rFonts w:cs="Times New Roman"/>
                <w:sz w:val="26"/>
                <w:szCs w:val="26"/>
              </w:rPr>
            </w:pPr>
          </w:p>
        </w:tc>
        <w:tc>
          <w:tcPr>
            <w:tcW w:w="3550" w:type="dxa"/>
          </w:tcPr>
          <w:p w14:paraId="748112FA"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bookmarkStart w:id="32" w:name="dieu_16"/>
            <w:r w:rsidRPr="00E3009F">
              <w:rPr>
                <w:bCs/>
                <w:sz w:val="26"/>
                <w:szCs w:val="26"/>
              </w:rPr>
              <w:t>Điều 16. Định mức chi thực hiện nội dung chuyên môn về xây dựng, sửa đổi, bổ sung và bãi bỏ quy chuẩn kỹ thuật</w:t>
            </w:r>
            <w:bookmarkEnd w:id="32"/>
          </w:p>
          <w:p w14:paraId="16C1E7A0"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Ngoài các định mức chi quy định tại </w:t>
            </w:r>
            <w:bookmarkStart w:id="33" w:name="tc_9"/>
            <w:r w:rsidRPr="00E3009F">
              <w:rPr>
                <w:sz w:val="26"/>
                <w:szCs w:val="26"/>
              </w:rPr>
              <w:t>Điều 12 Thông tư này</w:t>
            </w:r>
            <w:bookmarkEnd w:id="33"/>
            <w:r w:rsidRPr="00E3009F">
              <w:rPr>
                <w:sz w:val="26"/>
                <w:szCs w:val="26"/>
              </w:rPr>
              <w:t> đối với một số nội dung công việc có tính chất phổ biến quy định tại </w:t>
            </w:r>
            <w:bookmarkStart w:id="34" w:name="tc_10"/>
            <w:r w:rsidRPr="00E3009F">
              <w:rPr>
                <w:sz w:val="26"/>
                <w:szCs w:val="26"/>
              </w:rPr>
              <w:t>khoản 4 Điều 6 Thông tư này</w:t>
            </w:r>
            <w:bookmarkEnd w:id="34"/>
            <w:r w:rsidRPr="00E3009F">
              <w:rPr>
                <w:sz w:val="26"/>
                <w:szCs w:val="26"/>
              </w:rPr>
              <w:t>, định mức chi đối với một số nội dung công việc chuyên môn về xây dựng, sửa đổi, bổ sung và bãi bỏ quy chuẩn kỹ thuật được quy định như sau:</w:t>
            </w:r>
          </w:p>
          <w:p w14:paraId="27DFA0B2"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1. Chi thu thập, tổng hợp và đánh giá tình hình thực hiện các văn bản quy phạm pháp luật liên quan; nghiên cứu tài liệu kỹ thuật, tư liệu về các cam kết quốc tế có liên quan; căn cứ pháp lý, khảo sát, đánh giá thực trạng quản lý nhà nước và mức độ rủi ro của đối tượng quản lý: thực hiện theo hệ số, phương pháp xác định và mức thù lao đối với các chức danh quy định </w:t>
            </w:r>
            <w:r w:rsidRPr="00E3009F">
              <w:rPr>
                <w:sz w:val="26"/>
                <w:szCs w:val="26"/>
              </w:rPr>
              <w:lastRenderedPageBreak/>
              <w:t>tại </w:t>
            </w:r>
            <w:bookmarkStart w:id="35" w:name="dc_6"/>
            <w:r w:rsidRPr="00E3009F">
              <w:rPr>
                <w:sz w:val="26"/>
                <w:szCs w:val="26"/>
              </w:rPr>
              <w:t>Điều 9 và Điều 10 Thông tư số 39/2025/TT-BKHCN</w:t>
            </w:r>
            <w:bookmarkEnd w:id="35"/>
            <w:r w:rsidRPr="00E3009F">
              <w:rPr>
                <w:sz w:val="26"/>
                <w:szCs w:val="26"/>
              </w:rPr>
              <w:t>.</w:t>
            </w:r>
          </w:p>
          <w:p w14:paraId="49248FA6"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Căn cứ tính chất, khối lượng, mức độ phức tạp của công việc và yêu cầu về chất lượng sản phẩm, đơn vị chủ trì xác định số ngày công làm cơ sở tính thù lao cho các chức danh tham gia; việc xác định phải gắn với nội dung công việc và sản phẩm cụ thể, có thuyết minh rõ căn cứ; kết quả xác định được trình cấp có thẩm quyền phê duyệt, bảo đảm tiết kiệm, hiệu quả.</w:t>
            </w:r>
          </w:p>
          <w:p w14:paraId="1AA7BBFB"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2. Chi lấy mẫu phân tích, thử nghiệm, khảo nghiệm hoặc áp dụng thử (nếu có) để xác định các mức giới hạn của đặc tính kỹ thuật, mối nguy và mức độ rủi ro nhằm xác định phương thức, biện pháp quản lý phù hợp trong dự thảo quy chuẩn kỹ thuật, dự thảo sửa đổi, bổ sung quy chuẩn kỹ thuật:</w:t>
            </w:r>
          </w:p>
          <w:p w14:paraId="2FE35C82"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a) Chi mua mẫu, thuê cơ sở vật chất, trang thiết bị, nguyên liệu, vật tư, hóa chất để phân tích, thử </w:t>
            </w:r>
            <w:r w:rsidRPr="00E3009F">
              <w:rPr>
                <w:sz w:val="26"/>
                <w:szCs w:val="26"/>
              </w:rPr>
              <w:lastRenderedPageBreak/>
              <w:t>nghiệm, khảo nghiệm hoặc áp dụng thử: căn cứ khối lượng công việc, chế độ, định mức hiện hành (nếu có), giá niêm yết hoặc báo giá liên quan.</w:t>
            </w:r>
          </w:p>
          <w:p w14:paraId="4060B647"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Đối với việc lấy mẫu nhỏ lẻ trên nhiều địa bàn (nếu có), tiền công lấy mẫu để phân tích, thử nghiệm, khảo nghiệm, áp dụng thử: tối đa 500.000 đồng/ngày công.</w:t>
            </w:r>
          </w:p>
          <w:p w14:paraId="593D8D78"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Trường hợp đơn vị chủ trì xây dựng dự thảo quy chuẩn kỹ thuật có chức năng, cơ sở vật chất và năng lực kỹ thuật đáp ứng yêu cầu tự thực hiện hoạt động phân tích, thử nghiệm, khảo nghiệm hoặc áp dụng thử: việc xác định hao phí cơ sở vật chất, trang thiết bị phục vụ phân tích, khảo nghiệm, thử nghiệm hoặc áp dụng thử làm căn cứ lập dự toán được xác định theo mức khấu hao tài sản được quy định tại Thông tư số </w:t>
            </w:r>
            <w:bookmarkStart w:id="36" w:name="tvpllink_cbgdgbxwft_1"/>
            <w:r w:rsidRPr="00E3009F">
              <w:rPr>
                <w:sz w:val="26"/>
                <w:szCs w:val="26"/>
              </w:rPr>
              <w:fldChar w:fldCharType="begin"/>
            </w:r>
            <w:r w:rsidRPr="00E3009F">
              <w:rPr>
                <w:sz w:val="26"/>
                <w:szCs w:val="26"/>
              </w:rPr>
              <w:instrText xml:space="preserve"> HYPERLINK "https://thuvienphapluat.vn/van-ban/Tai-chinh-nha-nuoc/Thong-tu-141-2025-TT-BTC-huong-dan-che-do-quan-ly-tinh-hao-mon-khau-hao-tai-san-co-dinh-687608.aspx" \t "_blank" </w:instrText>
            </w:r>
            <w:r w:rsidRPr="00E3009F">
              <w:rPr>
                <w:sz w:val="26"/>
                <w:szCs w:val="26"/>
              </w:rPr>
              <w:fldChar w:fldCharType="separate"/>
            </w:r>
            <w:r w:rsidRPr="00E3009F">
              <w:rPr>
                <w:rStyle w:val="Siuktni"/>
                <w:color w:val="auto"/>
                <w:sz w:val="26"/>
                <w:szCs w:val="26"/>
                <w:u w:val="none"/>
              </w:rPr>
              <w:t>141/2025/TT-BTC</w:t>
            </w:r>
            <w:r w:rsidRPr="00E3009F">
              <w:rPr>
                <w:sz w:val="26"/>
                <w:szCs w:val="26"/>
              </w:rPr>
              <w:fldChar w:fldCharType="end"/>
            </w:r>
            <w:bookmarkEnd w:id="36"/>
            <w:r w:rsidRPr="00E3009F">
              <w:rPr>
                <w:sz w:val="26"/>
                <w:szCs w:val="26"/>
              </w:rPr>
              <w:t>.</w:t>
            </w:r>
          </w:p>
          <w:p w14:paraId="29691FF8"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Sau khi quy chuẩn kỹ thuật được ban hành, phần kinh phí tương </w:t>
            </w:r>
            <w:r w:rsidRPr="00E3009F">
              <w:rPr>
                <w:sz w:val="26"/>
                <w:szCs w:val="26"/>
              </w:rPr>
              <w:lastRenderedPageBreak/>
              <w:t>ứng với chi phí hao phí tài sản được quyết toán và trích lập Quỹ phát triển hoạt động sự nghiệp nếu đơn vị chủ trì là đơn vị sự nghiệp công lập hoặc trích lập Quỹ đầu tư phát triển nếu đơn vị chủ trì là tổ chức ngoài công lập theo quy định của pháp luật về cơ chế tự chủ tài chính và quy định pháp luật có liên quan.</w:t>
            </w:r>
          </w:p>
          <w:p w14:paraId="40FC2BBC"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b) Tiền công phân tích, thử nghiệm, khảo nghiệm hoặc áp dụng thử; biên soạn báo cáo kết quả phân tích, thử nghiệm, khảo nghiệm hoặc áp dụng thử; biên soạn thuyết minh dự thảo quy chuẩn kỹ thuật và dự thảo sửa đổi, bổ sung quy chuẩn kỹ thuật; biên soạn thuyết minh đề nghị bãi bỏ quy chuẩn kỹ thuật; lập báo cáo kết quả thẩm định, báo cáo tiếp thu, giải trình kết quả thẩm định: tối đa 1.000.000 đồng/ngày công. Căn cứ tính chất, khối lượng, mức độ phức tạp của công việc và yêu cầu về chất lượng sản phẩm, đơn vị chủ </w:t>
            </w:r>
            <w:r w:rsidRPr="00E3009F">
              <w:rPr>
                <w:sz w:val="26"/>
                <w:szCs w:val="26"/>
              </w:rPr>
              <w:lastRenderedPageBreak/>
              <w:t>trì xác định số ngày công làm cơ sở tính thù lao cho các thành viên tham gia; việc xác định phải gắn với nội dung công việc và sản phẩm cụ thể, có thuyết minh rõ căn cứ; kết quả xác định được trình cấp có thẩm quyền phê duyệt, bảo đảm tiết kiệm, hiệu quả.</w:t>
            </w:r>
          </w:p>
          <w:p w14:paraId="25269F71"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Trường hợp thuê dịch vụ thử nghiệm, khảo nghiệm, áp dụng thử: được xác định theo giá niêm yết hoặc báo giá của nhà cung cấp.</w:t>
            </w:r>
          </w:p>
          <w:p w14:paraId="55BF8B37"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3. Tiền công biên soạn dự thảo quy chuẩn kỹ thuật, dự thảo sửa đổi, bổ sung quy chuẩn kỹ thuật:</w:t>
            </w:r>
          </w:p>
          <w:p w14:paraId="304C9CAA"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a) Tiền công biên soạn dự thảo quy chuẩn kỹ thuật đơn ngành, lĩnh vực, bao gồm cả biên soạn khung nội dung dự thảo quy chuẩn kỹ thuật (nếu có): tối đa 40.000.000 đồng/01 dự thảo.</w:t>
            </w:r>
          </w:p>
          <w:p w14:paraId="0622FDE1"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b) Tiền công biên soạn dự thảo quy chuẩn kỹ thuật liên ngành, bao gồm cả biên soạn khung nội dung dự thảo quy chuẩn kỹ thuật </w:t>
            </w:r>
            <w:r w:rsidRPr="00E3009F">
              <w:rPr>
                <w:sz w:val="26"/>
                <w:szCs w:val="26"/>
              </w:rPr>
              <w:lastRenderedPageBreak/>
              <w:t>(nếu có): tối đa bằng 200% mức chi theo quy định tại điểm a khoản này.</w:t>
            </w:r>
          </w:p>
          <w:p w14:paraId="0772453B"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c) Tiền công biên soạn dự thảo sửa đổi, bổ sung quy chuẩn kỹ thuật: tối đa 60% mức chi được quy định tại điểm a và b khoản này.</w:t>
            </w:r>
          </w:p>
          <w:p w14:paraId="45D6AD84"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4. Định mức chi đánh giá tác động của dự thảo quy chuẩn kỹ thuật: tối đa 10.000.000 đồng/01 báo cáo; chi đánh giá tác động của dự thảo sửa đổi, bổ sung quy chuẩn kỹ thuật: tối đa 6.000.000 đồng/01 báo cáo.</w:t>
            </w:r>
          </w:p>
          <w:p w14:paraId="57CB8CEC"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Trường hợp quy chuẩn kỹ thuật có tính liên ngành, phạm vi tác động rộng, ảnh hưởng đến nhiều ngành, lĩnh vực hoặc gây phát sinh chi phí tuân thủ lớn cho doanh nghiệp, cơ quan chủ trì soạn thảo được thuê chuyên gia hoặc tổ chức tư vấn độc lập thực hiện đánh giá tác động của dự thảo quy chuẩn kỹ thuật, kinh phí thực hiện theo dự toán được cấp có thẩm quyền phê duyệt </w:t>
            </w:r>
            <w:r w:rsidRPr="00E3009F">
              <w:rPr>
                <w:sz w:val="26"/>
                <w:szCs w:val="26"/>
              </w:rPr>
              <w:lastRenderedPageBreak/>
              <w:t>theo quy định của pháp luật về ngân sách nhà nước và đấu thầu.</w:t>
            </w:r>
          </w:p>
          <w:p w14:paraId="36EA301F"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5. Định mức chi tổ chức các cuộc họp tổ soạn thảo, hội thảo chuyên đề, hội thảo tham vấn, góp ý đối với dự thảo quy chuẩn kỹ thuật, dự thảo sửa đổi, bổ sung quy chuẩn kỹ thuật:</w:t>
            </w:r>
          </w:p>
          <w:p w14:paraId="5144EECD"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Chủ trì: 1.500.000 đồng/buổi;</w:t>
            </w:r>
          </w:p>
          <w:p w14:paraId="5C8A0AA2"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Thư ký: 700.000 đồng/buổi;</w:t>
            </w:r>
          </w:p>
          <w:p w14:paraId="36C6D2BA"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Đại biểu tham dự: 500.000 đồng/người/buổi.</w:t>
            </w:r>
          </w:p>
          <w:p w14:paraId="048EF64D"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6. Định mức chi lấy ý kiến chuyên gia, nhà khoa học tối đa 700.000 đồng/01 phiếu ý kiến; chi tổng hợp, xử lý các ý kiến góp ý: tối đa 2.000.000 đồng/bản tổng hợp, giải trình, tiếp thu ý kiến góp ý.</w:t>
            </w:r>
          </w:p>
          <w:p w14:paraId="7B8B9B72"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7. Định mức chi dịch dự thảo quy chuẩn kỹ thuật, dự thảo sửa đổi, bổ sung quy chuẩn kỹ thuật từ tiếng Việt sang tiếng Anh để gửi lấy ý kiến các nước thành viên WTO: 300.000 đồng/trang A4.</w:t>
            </w:r>
          </w:p>
          <w:p w14:paraId="35D75C73"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lastRenderedPageBreak/>
              <w:t>8. Định mức chi tổ chức lấy ý kiến của các nước thành viên WTO đối với dự thảo quy chuẩn kỹ thuật, bao gồm: gửi lấy ý kiến, tổng hợp ý kiến nhận được và trả lời ý kiến (nếu có): 500.000 đồng cho một kết quả trả lời được nước thành viên gửi ý kiến chấp thuận.</w:t>
            </w:r>
          </w:p>
          <w:p w14:paraId="22028152"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9. Định mức chi họp Hội đồng thẩm định quy chuẩn kỹ thuật, dự thảo sửa đổi, bổ sung quy chuẩn kỹ thuật:</w:t>
            </w:r>
          </w:p>
          <w:p w14:paraId="5527DC96"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Chủ tịch Hội đồng: 1.800.000 đồng/buổi;</w:t>
            </w:r>
          </w:p>
          <w:p w14:paraId="7546505D"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Thành viên: 1.500.000 đồng/người/buổi;</w:t>
            </w:r>
          </w:p>
          <w:p w14:paraId="2585F2E0"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Chi lấy ý kiến thẩm định bằng văn bản của thành viên vắng mặt tại cuộc họp thẩm định: 1.000.000 đồng/01 phiếu ý kiến.</w:t>
            </w:r>
          </w:p>
          <w:p w14:paraId="1EC35537"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10. Định mức chi đăng tải hồ sơ dự thảo quy chuẩn kỹ thuật, dự thảo sửa đổi, bổ sung quy chuẩn kỹ thuật lấy ý kiến rộng rãi; kết quả tham vấn, giải trình, tiếp thu ý kiến đối với hồ sơ dự thảo quy </w:t>
            </w:r>
            <w:r w:rsidRPr="00E3009F">
              <w:rPr>
                <w:sz w:val="26"/>
                <w:szCs w:val="26"/>
              </w:rPr>
              <w:lastRenderedPageBreak/>
              <w:t>chuẩn kỹ thuật, dự thảo sửa đổi, bổ sung quy chuẩn kỹ thuật trên cổng thông tin điện tử và Cơ sở dữ liệu quốc gia về tiêu chuẩn, đo lường, chất lượng: 1.000.000 đồng/01 hồ sơ/01 nơi đăng tải.</w:t>
            </w:r>
          </w:p>
          <w:p w14:paraId="46A8F0A7"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11. Định mức chi tại Bộ Khoa học và Công nghệ về tổ chức lấy ý kiến đối với hồ sơ dự thảo quy chuẩn kỹ thuật quốc gia có nội dung phức tạp, liên quan đến quản lý đa ngành hoặc có khả năng tạo rào cản kỹ thuật đối với hoạt động sản xuất kinh doanh, nhập khẩu hàng hóa đã được hoàn thiện sau thẩm định do các bộ, cơ quan ngang bộ tổ chức xây dựng:</w:t>
            </w:r>
          </w:p>
          <w:p w14:paraId="5A25100E"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a) Định mức chi xin ý kiến chuyên gia đối với hồ sơ dự thảo quy chuẩn kỹ thuật quốc gia: 1.000.000 đồng/01 phiếu ý kiến.</w:t>
            </w:r>
          </w:p>
          <w:p w14:paraId="5AE5DDAC"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b) Định mức chi họp tham vấn đối với hồ sơ dự thảo quy chuẩn kỹ thuật quốc gia:</w:t>
            </w:r>
          </w:p>
          <w:p w14:paraId="3F76019A"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Chủ trì: 1.500.000 đồng/buổi;</w:t>
            </w:r>
          </w:p>
          <w:p w14:paraId="7943D69F" w14:textId="6CC78096" w:rsidR="00E73AA4"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lastRenderedPageBreak/>
              <w:t>Thành viên: 500.000 đồng/người/buổi.</w:t>
            </w:r>
          </w:p>
        </w:tc>
        <w:tc>
          <w:tcPr>
            <w:tcW w:w="2872" w:type="dxa"/>
          </w:tcPr>
          <w:p w14:paraId="3A8D99AF" w14:textId="5A7F94C9" w:rsidR="00E73AA4" w:rsidRPr="00E3009F" w:rsidRDefault="00E73AA4" w:rsidP="00A12262">
            <w:pPr>
              <w:spacing w:line="240" w:lineRule="atLeast"/>
              <w:jc w:val="both"/>
              <w:rPr>
                <w:rFonts w:cs="Times New Roman"/>
                <w:spacing w:val="-6"/>
                <w:sz w:val="26"/>
                <w:szCs w:val="26"/>
              </w:rPr>
            </w:pPr>
          </w:p>
        </w:tc>
        <w:tc>
          <w:tcPr>
            <w:tcW w:w="1581" w:type="dxa"/>
          </w:tcPr>
          <w:p w14:paraId="654D953B" w14:textId="77777777" w:rsidR="00E73AA4" w:rsidRPr="00E3009F" w:rsidRDefault="00E73AA4" w:rsidP="00A12262">
            <w:pPr>
              <w:spacing w:line="240" w:lineRule="atLeast"/>
              <w:jc w:val="both"/>
              <w:rPr>
                <w:rFonts w:cs="Times New Roman"/>
                <w:sz w:val="26"/>
                <w:szCs w:val="26"/>
              </w:rPr>
            </w:pPr>
          </w:p>
        </w:tc>
        <w:tc>
          <w:tcPr>
            <w:tcW w:w="3119" w:type="dxa"/>
          </w:tcPr>
          <w:p w14:paraId="1F0E5731" w14:textId="77777777" w:rsidR="00BE569E" w:rsidRPr="00E3009F" w:rsidRDefault="00BE569E" w:rsidP="00A12262">
            <w:pPr>
              <w:spacing w:line="240" w:lineRule="atLeast"/>
              <w:jc w:val="both"/>
              <w:rPr>
                <w:rFonts w:cs="Times New Roman"/>
                <w:sz w:val="26"/>
                <w:szCs w:val="26"/>
              </w:rPr>
            </w:pPr>
            <w:r w:rsidRPr="00E3009F">
              <w:rPr>
                <w:rFonts w:cs="Times New Roman"/>
                <w:bCs/>
                <w:sz w:val="26"/>
                <w:szCs w:val="26"/>
              </w:rPr>
              <w:t>Điều 6. Định mức chi thực hiện nội dung chuyên môn về xây dựng, sửa đổi, bổ sung và bãi bỏ QCĐP</w:t>
            </w:r>
          </w:p>
          <w:p w14:paraId="0433C048"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Ngoài các định mức chi quy định tại Điều 3 Nghị quyết này  đối với một số nội dung công việc có tính chất phổ biến quy định tại khoản 4 Điều 6 Thông tư số 23/2026/TT-BKHCN, định mức chi đối với một số nội dung công việc chuyên môn về xây dựng, sửa đổi, bổ sung và bãi bỏ QCĐP được quy định như sau:</w:t>
            </w:r>
          </w:p>
          <w:p w14:paraId="50643697"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1. Chi thu thập, tổng hợp và đánh giá tình hình thực hiện các văn bản quy phạm pháp luật liên quan; nghiên cứu tài liệu kỹ thuật, tư liệu về các cam kết quốc tế có liên quan; căn cứ pháp lý, khảo sát, đánh giá thực trạng quản lý nhà nước và mức độ rủi ro của đối tượng quản lý: thực hiện theo hệ số, </w:t>
            </w:r>
            <w:r w:rsidRPr="00E3009F">
              <w:rPr>
                <w:rFonts w:cs="Times New Roman"/>
                <w:sz w:val="26"/>
                <w:szCs w:val="26"/>
              </w:rPr>
              <w:lastRenderedPageBreak/>
              <w:t>phương pháp xác định và mức thù lao đối với các chức danh quy định tại Điều 9 và Điều 10 Thông tư số 39/2025/TT-BKHCN ngày 30 tháng 11 năm 2025 của Bộ trưởng Bộ Khoa học và Công nghệ quy định chi tiết và hướng dẫn về lập dự toán, quản lý sử dụng và quyết toán một số nội dung chi ngân sách nhà nước thực hiện nhiệm vụ khoa học, công nghệ và đổi mới sáng tao.</w:t>
            </w:r>
          </w:p>
          <w:p w14:paraId="2F8F0DAE"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Căn cứ tính chất, khối lượng, mức độ phức tạp của công việc và yêu cầu về chất lượng sản phẩm, đơn vị chủ trì xác định số ngày công làm cơ sở tính thù lao cho các chức danh tham gia; việc xác định phải gắn với nội dung công việc và sản phẩm cụ thể, có thuyết minh rõ căn cứ; kết quả xác định được trình cấp có thẩm </w:t>
            </w:r>
            <w:r w:rsidRPr="00E3009F">
              <w:rPr>
                <w:rFonts w:cs="Times New Roman"/>
                <w:sz w:val="26"/>
                <w:szCs w:val="26"/>
              </w:rPr>
              <w:lastRenderedPageBreak/>
              <w:t>quyền phê duyệt, bảo đảm tiết kiệm, hiệu quả.</w:t>
            </w:r>
          </w:p>
          <w:p w14:paraId="1E0CA959"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2. Chi lấy mẫu phân tích, thử nghiệm, khảo nghiệm hoặc áp dụng thử (nếu có) để xác định các mức giới hạn của đặc tính kỹ thuật, mối nguy và mức độ rủi ro nhằm xác định phương thức, biện pháp quản lý phù hợp trong dự thảo QCĐP, dự thảo sửa đổi, bổ sung QCĐP:</w:t>
            </w:r>
          </w:p>
          <w:p w14:paraId="66C98CB4"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a) Chi mua mẫu, thuê cơ sở vật chất, trang thiết bị, nguyên liệu, vật tư, hóa chất để phân tích, thử nghiệm, khảo nghiệm hoặc áp dụng thử: căn cứ khối lượng công việc, chế độ, định mức hiện hành (nếu có), giá niêm yết hoặc báo giá liên quan.</w:t>
            </w:r>
          </w:p>
          <w:p w14:paraId="5D27B945"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Đối với việc lấy mẫu nhỏ lẻ trên nhiều địa bàn (nếu có), tiền công lấy mẫu để phân tích, thử nghiệm, khảo </w:t>
            </w:r>
            <w:r w:rsidRPr="00E3009F">
              <w:rPr>
                <w:rFonts w:cs="Times New Roman"/>
                <w:sz w:val="26"/>
                <w:szCs w:val="26"/>
              </w:rPr>
              <w:lastRenderedPageBreak/>
              <w:t>nghiệm, áp dụng thử: 400.000 đồng/ngày công.</w:t>
            </w:r>
          </w:p>
          <w:p w14:paraId="57FB6AC6"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Trường hợp đơn vị chủ trì xây dựng dự thảo QCĐP có chức năng, cơ sở vật chất và năng lực kỹ thuật đáp ứng yêu cầu tự thực hiện hoạt động phân tích, thử nghiệm, khảo nghiệm hoặc áp dụng thử: việc xác định hao phí cơ sở vật chất, trang thiết bị phục vụ phân tích, khảo nghiệm, thử nghiệm hoặc áp dụng thử làm căn cứ lập dự toán được xác định theo mức khấu hao tài sản được quy định tại Thông tư số 141/2025/TT-BTC ngày 31 tháng 12 năm 2025 của Bộ trưởng Bộ Tài chính hướng dẫn chế độ quản lý, tính hao mòn, khấu hao tài sản cố định tại cơ quan, tổ chức, đơn vị và tài sản cố định do nhà nước giao cho doanh nghiệp quản lý không </w:t>
            </w:r>
            <w:r w:rsidRPr="00E3009F">
              <w:rPr>
                <w:rFonts w:cs="Times New Roman"/>
                <w:sz w:val="26"/>
                <w:szCs w:val="26"/>
              </w:rPr>
              <w:lastRenderedPageBreak/>
              <w:t>tính thành phần vốn nhà nước tại doanh nghiêp.</w:t>
            </w:r>
          </w:p>
          <w:p w14:paraId="633C1E8C"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Sau khi QCĐP được ban hành, phần kinh phí tương ứng với chi phí hao phí tài sản được quyết toán và trích lập Quỹ phát triển hoạt động sự nghiệp nếu đơn vị chủ trì là đơn vị sự nghiệp công lập theo quy định của pháp luật về cơ chế tự chủ tài chính và quy định pháp luật có liên quan.</w:t>
            </w:r>
          </w:p>
          <w:p w14:paraId="146CBAED"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b) Tiền công phân tích, thử nghiệm, khảo nghiệm hoặc áp dụng thử; biên soạn báo cáo kết quả phân tích, thử nghiệm, khảo nghiệm hoặc áp dụng thử; biên soạn thuyết minh dự thảo QCĐP và dự thảo sửa đổi, bổ sung QCĐP; biên soạn thuyết minh đề nghị bãi bỏ QCĐP; lập báo cáo kết quả thẩm định, báo cáo tiếp thu, giải trình kết quả thẩm định: 800.000 đồng/ngày công. </w:t>
            </w:r>
            <w:r w:rsidRPr="00E3009F">
              <w:rPr>
                <w:rFonts w:cs="Times New Roman"/>
                <w:sz w:val="26"/>
                <w:szCs w:val="26"/>
              </w:rPr>
              <w:lastRenderedPageBreak/>
              <w:t>Căn cứ tính chất, khối lượng, mức độ phức tạp của công việc và yêu cầu về chất lượng sản phẩm, đơn vị chủ trì xác định số ngày công làm cơ sở tính thù lao cho các thành viên tham gia; việc xác định phải gắn với nội dung công việc và sản phẩm cụ thể, có thuyết minh rõ căn cứ; kết quả xác định được trình cấp có thẩm quyền phê duyệt, bảo đảm tiết kiệm, hiệu quả.</w:t>
            </w:r>
          </w:p>
          <w:p w14:paraId="2A4BD650"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Trường hợp thuê dịch vụ thử nghiệm, khảo nghiệm, áp dụng thử: được xác định theo giá niêm yết hoặc báo giá của nhà cung cấp.</w:t>
            </w:r>
          </w:p>
          <w:p w14:paraId="3A698817"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3. Tiền công biên soạn dự thảo QCĐP, dự thảo sửa đổi, bổ sung QCĐP:</w:t>
            </w:r>
          </w:p>
          <w:p w14:paraId="7D96A9B3"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a) Tiền công biên soạn dự thảo QCĐP đơn ngành, lĩnh vực, bao gồm cả biên soạn khung nội dung dự thảo </w:t>
            </w:r>
            <w:r w:rsidRPr="00E3009F">
              <w:rPr>
                <w:rFonts w:cs="Times New Roman"/>
                <w:sz w:val="26"/>
                <w:szCs w:val="26"/>
              </w:rPr>
              <w:lastRenderedPageBreak/>
              <w:t>QCĐP (nếu có): 32.000.000 đồng/01 dự thảo.</w:t>
            </w:r>
          </w:p>
          <w:p w14:paraId="17F945F2"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b) Tiền công biên soạn dự thảo QCĐP liên ngành, bao gồm cả biên soạn khung nội dung dự thảo QCĐP (nếu có): bằng 200% mức chi theo quy định tại điểm a khoản này.</w:t>
            </w:r>
          </w:p>
          <w:p w14:paraId="50FD0997"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c) Tiền công biên soạn dự thảo sửa đổi, bổ sung QCĐP: 60% mức chi được quy định tại điểm a và b khoản này.</w:t>
            </w:r>
          </w:p>
          <w:p w14:paraId="1665B3EF"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4. Định mức chi đánh giá tác động của dự thảo QCĐP: 8.000.000 đồng/01 báo cáo; chi đánh giá tác động của dự thảo sửa đổi, bổ sung QCĐP: 4.800.000 đồng/01 báo cáo.</w:t>
            </w:r>
          </w:p>
          <w:p w14:paraId="56B495A4"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Trường hợp QCĐP có tính liên ngành, phạm vi tác động rộng, ảnh hưởng đến nhiều ngành, lĩnh vực hoặc gây phát sinh chi phí tuân thủ lớn cho doanh nghiệp, </w:t>
            </w:r>
            <w:r w:rsidRPr="00E3009F">
              <w:rPr>
                <w:rFonts w:cs="Times New Roman"/>
                <w:sz w:val="26"/>
                <w:szCs w:val="26"/>
              </w:rPr>
              <w:lastRenderedPageBreak/>
              <w:t>cơ quan chủ trì soạn thảo được thuê chuyên gia hoặc tổ chức tư vấn độc lập thực hiện đánh giá tác động của dự thảo QCĐP, kinh phí thực hiện theo dự toán được cấp có thẩm quyền phê duyệt theo quy định của pháp luật về ngân sách nhà nước và đấu thầu.</w:t>
            </w:r>
          </w:p>
          <w:p w14:paraId="68DD88CC"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5. Định mức chi tổ chức các cuộc họp tổ soạn thảo, hội thảo chuyên đề, hội thảo tham vấn, góp ý đối với dự thảo QCĐP, dự thảo sửa đổi, bổ sung QCĐP:</w:t>
            </w:r>
          </w:p>
          <w:p w14:paraId="15D5DA3F"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Chủ trì: 1.200.000 đồng/buổi;</w:t>
            </w:r>
          </w:p>
          <w:p w14:paraId="48225816"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Thư ký: 560.000 đồng/buổi;</w:t>
            </w:r>
          </w:p>
          <w:p w14:paraId="689A1C7B"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Đại biểu tham dự: 400.000 đồng/người/buổi.</w:t>
            </w:r>
          </w:p>
          <w:p w14:paraId="7B438860"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 xml:space="preserve">6. Định mức chi lấy ý kiến chuyên gia, nhà khoa học 560.000 đồng/01 phiếu ý kiến; chi tổng hợp, xử lý các ý kiến góp ý: 1.600.000 </w:t>
            </w:r>
            <w:r w:rsidRPr="00E3009F">
              <w:rPr>
                <w:rFonts w:cs="Times New Roman"/>
                <w:sz w:val="26"/>
                <w:szCs w:val="26"/>
              </w:rPr>
              <w:lastRenderedPageBreak/>
              <w:t>đồng/bản tổng hợp, giải trình, tiếp thu ý kiến góp ý.</w:t>
            </w:r>
          </w:p>
          <w:p w14:paraId="68D3C814"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9. Định mức chi họp Hội đồng thẩm định QCĐP, dự thảo sửa đổi, bổ sung QCĐP:</w:t>
            </w:r>
          </w:p>
          <w:p w14:paraId="1FAF9530"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Chủ tịch Hội đồng: 1.440.000 đồng/buổi;</w:t>
            </w:r>
          </w:p>
          <w:p w14:paraId="2DFB17D3"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Thành viên: 1.200.000 đồng/người/buổi;</w:t>
            </w:r>
          </w:p>
          <w:p w14:paraId="14CDB4C6"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Chi lấy ý kiến thẩm định bằng văn bản của thành viên vắng mặt tại cuộc họp thẩm định: 800.000 đồng/01 phiếu ý kiến.</w:t>
            </w:r>
          </w:p>
          <w:p w14:paraId="6C62DD49" w14:textId="44D009A2" w:rsidR="00E73AA4" w:rsidRPr="00E3009F" w:rsidRDefault="00BE569E" w:rsidP="00A12262">
            <w:pPr>
              <w:spacing w:line="240" w:lineRule="atLeast"/>
              <w:jc w:val="both"/>
              <w:rPr>
                <w:rFonts w:cs="Times New Roman"/>
                <w:sz w:val="26"/>
                <w:szCs w:val="26"/>
              </w:rPr>
            </w:pPr>
            <w:r w:rsidRPr="00E3009F">
              <w:rPr>
                <w:rFonts w:cs="Times New Roman"/>
                <w:sz w:val="26"/>
                <w:szCs w:val="26"/>
              </w:rPr>
              <w:t xml:space="preserve">10. Định mức chi đăng tải hồ sơ dự thảo QCĐP, dự thảo sửa đổi, bổ sung QCĐP lấy ý kiến rộng rãi; kết quả tham vấn, giải trình, tiếp thu ý kiến đối với hồ sơ dự thảo QCĐP, dự thảo sửa đổi, bổ sung QCĐP trên cổng thông tin điện tử và Cơ sở dữ liệu quốc gia về tiêu chuẩn, đo lường, chất lượng: 800.000 </w:t>
            </w:r>
            <w:r w:rsidRPr="00E3009F">
              <w:rPr>
                <w:rFonts w:cs="Times New Roman"/>
                <w:sz w:val="26"/>
                <w:szCs w:val="26"/>
              </w:rPr>
              <w:lastRenderedPageBreak/>
              <w:t>đồng/01 hồ sơ/01 nơi đăng tải.</w:t>
            </w:r>
          </w:p>
        </w:tc>
        <w:tc>
          <w:tcPr>
            <w:tcW w:w="1816" w:type="dxa"/>
          </w:tcPr>
          <w:p w14:paraId="27D02618" w14:textId="249D1708" w:rsidR="00E73AA4" w:rsidRPr="00E3009F" w:rsidRDefault="00DE354F" w:rsidP="00406205">
            <w:pPr>
              <w:spacing w:line="240" w:lineRule="atLeast"/>
              <w:jc w:val="both"/>
              <w:rPr>
                <w:rFonts w:cs="Times New Roman"/>
                <w:spacing w:val="-8"/>
                <w:sz w:val="26"/>
                <w:szCs w:val="26"/>
              </w:rPr>
            </w:pPr>
            <w:r w:rsidRPr="00E3009F">
              <w:rPr>
                <w:rFonts w:cs="Times New Roman"/>
                <w:spacing w:val="-8"/>
                <w:sz w:val="26"/>
                <w:szCs w:val="26"/>
              </w:rPr>
              <w:lastRenderedPageBreak/>
              <w:t>Các nội dung Thông tư quy định mức chi cụ thể, Nghị quyết quy định mức chi bằng 80% mức chi của Thông tư</w:t>
            </w:r>
          </w:p>
        </w:tc>
      </w:tr>
      <w:tr w:rsidR="00E3009F" w:rsidRPr="00E3009F" w14:paraId="27906AA1" w14:textId="77777777" w:rsidTr="00A12262">
        <w:trPr>
          <w:trHeight w:val="684"/>
          <w:jc w:val="center"/>
        </w:trPr>
        <w:tc>
          <w:tcPr>
            <w:tcW w:w="851" w:type="dxa"/>
          </w:tcPr>
          <w:p w14:paraId="41C8467B" w14:textId="77777777" w:rsidR="00E73AA4" w:rsidRPr="00E3009F" w:rsidRDefault="00E73AA4" w:rsidP="00A12262">
            <w:pPr>
              <w:spacing w:line="240" w:lineRule="atLeast"/>
              <w:jc w:val="both"/>
              <w:rPr>
                <w:rFonts w:cs="Times New Roman"/>
                <w:sz w:val="26"/>
                <w:szCs w:val="26"/>
              </w:rPr>
            </w:pPr>
          </w:p>
        </w:tc>
        <w:tc>
          <w:tcPr>
            <w:tcW w:w="1573" w:type="dxa"/>
          </w:tcPr>
          <w:p w14:paraId="3B44B925" w14:textId="77777777" w:rsidR="00E73AA4" w:rsidRPr="00E3009F" w:rsidRDefault="00E73AA4" w:rsidP="00A12262">
            <w:pPr>
              <w:spacing w:line="240" w:lineRule="atLeast"/>
              <w:jc w:val="both"/>
              <w:rPr>
                <w:rFonts w:cs="Times New Roman"/>
                <w:sz w:val="26"/>
                <w:szCs w:val="26"/>
              </w:rPr>
            </w:pPr>
          </w:p>
        </w:tc>
        <w:tc>
          <w:tcPr>
            <w:tcW w:w="3550" w:type="dxa"/>
          </w:tcPr>
          <w:p w14:paraId="36CA1BDA"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bookmarkStart w:id="37" w:name="dieu_17"/>
            <w:r w:rsidRPr="00E3009F">
              <w:rPr>
                <w:bCs/>
                <w:sz w:val="26"/>
                <w:szCs w:val="26"/>
              </w:rPr>
              <w:t>Điều 17. Định mức chi thực hiện nội dung chuyên môn về đánh giá hiệu quả áp dụng tiêu chuẩn quốc gia, quy chuẩn kỹ thuật</w:t>
            </w:r>
            <w:bookmarkEnd w:id="37"/>
          </w:p>
          <w:p w14:paraId="029B51DE"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Ngoài các định mức chi quy định tại </w:t>
            </w:r>
            <w:bookmarkStart w:id="38" w:name="tc_11"/>
            <w:r w:rsidRPr="00E3009F">
              <w:rPr>
                <w:sz w:val="26"/>
                <w:szCs w:val="26"/>
              </w:rPr>
              <w:t>Điều 12 Thông tư này</w:t>
            </w:r>
            <w:bookmarkEnd w:id="38"/>
            <w:r w:rsidRPr="00E3009F">
              <w:rPr>
                <w:sz w:val="26"/>
                <w:szCs w:val="26"/>
              </w:rPr>
              <w:t> đối với một số nội dung công việc có tính chất phổ biến quy định tại </w:t>
            </w:r>
            <w:bookmarkStart w:id="39" w:name="tc_12"/>
            <w:r w:rsidRPr="00E3009F">
              <w:rPr>
                <w:sz w:val="26"/>
                <w:szCs w:val="26"/>
              </w:rPr>
              <w:t>khoản 5 Điều 6 Thông tư này</w:t>
            </w:r>
            <w:bookmarkEnd w:id="39"/>
            <w:r w:rsidRPr="00E3009F">
              <w:rPr>
                <w:sz w:val="26"/>
                <w:szCs w:val="26"/>
              </w:rPr>
              <w:t>, định mức chi đối với một số nội dung công việc chuyên môn về đánh giá hiệu quả áp dụng tiêu chuẩn quốc gia, quy chuẩn kỹ thuật được quy định như sau:</w:t>
            </w:r>
          </w:p>
          <w:p w14:paraId="1BA052B2"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1. Định mức chi tổ chức khảo sát, thu thập thông tin, dữ liệu, đánh giá, phân tích và xử lý thông tin, dữ liệu về hiệu quả áp dụng của tiêu chuẩn quốc gia, quy chuẩn kỹ thuật: áp dụng định mức chi công việc tương tự được quy định tại Thông tư số </w:t>
            </w:r>
            <w:bookmarkStart w:id="40" w:name="tvpllink_ewtgpsicue_1"/>
            <w:r w:rsidRPr="00E3009F">
              <w:rPr>
                <w:sz w:val="26"/>
                <w:szCs w:val="26"/>
              </w:rPr>
              <w:fldChar w:fldCharType="begin"/>
            </w:r>
            <w:r w:rsidRPr="00E3009F">
              <w:rPr>
                <w:sz w:val="26"/>
                <w:szCs w:val="26"/>
              </w:rPr>
              <w:instrText xml:space="preserve"> HYPERLINK "https://thuvienphapluat.vn/van-ban/Tai-chinh-nha-nuoc/Thong-tu-109-2016-TT-BTC-lap-du-toan-su-dung-quyet-toan-kinh-phi-thuc-hien-dieu-tra-thong-ke-316840.aspx" \t "_blank" </w:instrText>
            </w:r>
            <w:r w:rsidRPr="00E3009F">
              <w:rPr>
                <w:sz w:val="26"/>
                <w:szCs w:val="26"/>
              </w:rPr>
              <w:fldChar w:fldCharType="separate"/>
            </w:r>
            <w:r w:rsidRPr="00E3009F">
              <w:rPr>
                <w:rStyle w:val="Siuktni"/>
                <w:color w:val="auto"/>
                <w:sz w:val="26"/>
                <w:szCs w:val="26"/>
                <w:u w:val="none"/>
              </w:rPr>
              <w:t>109/2016/TT-BTC</w:t>
            </w:r>
            <w:r w:rsidRPr="00E3009F">
              <w:rPr>
                <w:sz w:val="26"/>
                <w:szCs w:val="26"/>
              </w:rPr>
              <w:fldChar w:fldCharType="end"/>
            </w:r>
            <w:bookmarkEnd w:id="40"/>
            <w:r w:rsidRPr="00E3009F">
              <w:rPr>
                <w:sz w:val="26"/>
                <w:szCs w:val="26"/>
              </w:rPr>
              <w:t xml:space="preserve">, được sửa </w:t>
            </w:r>
            <w:r w:rsidRPr="00E3009F">
              <w:rPr>
                <w:sz w:val="26"/>
                <w:szCs w:val="26"/>
              </w:rPr>
              <w:lastRenderedPageBreak/>
              <w:t>đổi, bổ sung bởi Thông tư số </w:t>
            </w:r>
            <w:bookmarkStart w:id="41" w:name="tvpllink_xsmnvbhdha_1"/>
            <w:r w:rsidRPr="00E3009F">
              <w:rPr>
                <w:sz w:val="26"/>
                <w:szCs w:val="26"/>
              </w:rPr>
              <w:fldChar w:fldCharType="begin"/>
            </w:r>
            <w:r w:rsidRPr="00E3009F">
              <w:rPr>
                <w:sz w:val="26"/>
                <w:szCs w:val="26"/>
              </w:rPr>
              <w:instrText xml:space="preserve"> HYPERLINK "https://thuvienphapluat.vn/van-ban/Bo-may-hanh-chinh/Thong-tu-37-2022-TT-BTC-sua-doi-Thong-tu-109-2016-TT-BTC-kinh-phi-dieu-tra-thong-ke-518580.aspx" \t "_blank" </w:instrText>
            </w:r>
            <w:r w:rsidRPr="00E3009F">
              <w:rPr>
                <w:sz w:val="26"/>
                <w:szCs w:val="26"/>
              </w:rPr>
              <w:fldChar w:fldCharType="separate"/>
            </w:r>
            <w:r w:rsidRPr="00E3009F">
              <w:rPr>
                <w:rStyle w:val="Siuktni"/>
                <w:color w:val="auto"/>
                <w:sz w:val="26"/>
                <w:szCs w:val="26"/>
                <w:u w:val="none"/>
              </w:rPr>
              <w:t>37/2022/TT-BTC</w:t>
            </w:r>
            <w:r w:rsidRPr="00E3009F">
              <w:rPr>
                <w:sz w:val="26"/>
                <w:szCs w:val="26"/>
              </w:rPr>
              <w:fldChar w:fldCharType="end"/>
            </w:r>
            <w:bookmarkEnd w:id="41"/>
            <w:r w:rsidRPr="00E3009F">
              <w:rPr>
                <w:sz w:val="26"/>
                <w:szCs w:val="26"/>
              </w:rPr>
              <w:t>.</w:t>
            </w:r>
          </w:p>
          <w:p w14:paraId="70912E1C"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2. Định mức chi lấy ý kiến chuyên gia: tối đa 500.000 đồng/01 phiếu ý kiến đối với quy chuẩn kỹ thuật; tối đa 200.000 đồng/01 phiếu ý kiến đối với tiêu chuẩn quốc gia.</w:t>
            </w:r>
          </w:p>
          <w:p w14:paraId="0CA2E8E7"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3. Chi hội thảo chuyên đề góp ý:</w:t>
            </w:r>
          </w:p>
          <w:p w14:paraId="60CD9BCA"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Chủ trì: 1.500.000 đồng/buổi;</w:t>
            </w:r>
          </w:p>
          <w:p w14:paraId="4ADE8539"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Thư ký: 700.000 đồng/buổi;</w:t>
            </w:r>
          </w:p>
          <w:p w14:paraId="55A9CAAD"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Đại biểu: 300.000 đồng/người/buổi.</w:t>
            </w:r>
          </w:p>
          <w:p w14:paraId="567F9FD3" w14:textId="0C2118F7" w:rsidR="00E73AA4"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4. Tiền công lập báo cáo kết quả rà soát, đánh giá hiệu quả áp dụng tiêu chuẩn quốc gia: tối đa 1.000.000 đồng/01 báo cáo; lập báo cáo kết quả rà soát, đánh giá hiệu quả quy chuẩn kỹ thuật: tối đa 5.000.000 đồng/01 báo cáo.</w:t>
            </w:r>
          </w:p>
        </w:tc>
        <w:tc>
          <w:tcPr>
            <w:tcW w:w="2872" w:type="dxa"/>
          </w:tcPr>
          <w:p w14:paraId="79234441" w14:textId="6B7BCDA4" w:rsidR="00E73AA4" w:rsidRPr="00E3009F" w:rsidRDefault="00E73AA4" w:rsidP="00A12262">
            <w:pPr>
              <w:spacing w:line="240" w:lineRule="atLeast"/>
              <w:jc w:val="both"/>
              <w:rPr>
                <w:rFonts w:cs="Times New Roman"/>
                <w:spacing w:val="-6"/>
                <w:sz w:val="26"/>
                <w:szCs w:val="26"/>
              </w:rPr>
            </w:pPr>
          </w:p>
        </w:tc>
        <w:tc>
          <w:tcPr>
            <w:tcW w:w="1581" w:type="dxa"/>
          </w:tcPr>
          <w:p w14:paraId="58FE7350" w14:textId="77777777" w:rsidR="00E73AA4" w:rsidRPr="00E3009F" w:rsidRDefault="00E73AA4" w:rsidP="00A12262">
            <w:pPr>
              <w:spacing w:line="240" w:lineRule="atLeast"/>
              <w:jc w:val="both"/>
              <w:rPr>
                <w:rFonts w:cs="Times New Roman"/>
                <w:sz w:val="26"/>
                <w:szCs w:val="26"/>
              </w:rPr>
            </w:pPr>
          </w:p>
        </w:tc>
        <w:tc>
          <w:tcPr>
            <w:tcW w:w="3119" w:type="dxa"/>
          </w:tcPr>
          <w:p w14:paraId="6255A38B" w14:textId="77777777" w:rsidR="00BE569E" w:rsidRPr="00E3009F" w:rsidRDefault="00BE569E" w:rsidP="00A12262">
            <w:pPr>
              <w:spacing w:line="240" w:lineRule="atLeast"/>
              <w:jc w:val="both"/>
              <w:rPr>
                <w:rFonts w:cs="Times New Roman"/>
                <w:sz w:val="26"/>
                <w:szCs w:val="26"/>
              </w:rPr>
            </w:pPr>
            <w:r w:rsidRPr="00E3009F">
              <w:rPr>
                <w:rFonts w:cs="Times New Roman"/>
                <w:bCs/>
                <w:sz w:val="26"/>
                <w:szCs w:val="26"/>
              </w:rPr>
              <w:t xml:space="preserve">Điều 7. Định mức chi thực hiện nội dung chuyên môn về đánh giá hiệu quả áp dụng </w:t>
            </w:r>
            <w:r w:rsidRPr="00E3009F">
              <w:rPr>
                <w:rFonts w:cs="Times New Roman"/>
                <w:sz w:val="26"/>
                <w:szCs w:val="26"/>
              </w:rPr>
              <w:t>TCCS</w:t>
            </w:r>
            <w:r w:rsidRPr="00E3009F">
              <w:rPr>
                <w:rFonts w:cs="Times New Roman"/>
                <w:bCs/>
                <w:sz w:val="26"/>
                <w:szCs w:val="26"/>
              </w:rPr>
              <w:t>, QCĐP</w:t>
            </w:r>
          </w:p>
          <w:p w14:paraId="0A6FFDD7"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Ngoài các định mức chi quy định tại Điều 3 Nghị quyết này đối với một số nội dung công việc có tính chất phổ biến quy định tại khoản 5 Điều 6 Thông tư số 23/2026/TT-BKHCN,định mức chi đối với một số nội dung công việc chuyên môn về đánh giá hiệu quả áp dụng TCCS, QCĐP được quy định như sau:</w:t>
            </w:r>
          </w:p>
          <w:p w14:paraId="0569DBA1"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1. Định mức chi tổ chức khảo sát, thu thập thông tin, dữ liệu, đánh giá, phân tích và xử lý thông tin, dữ liệu về hiệu quả áp dụng của TCCS, QCĐP: áp dụng định mức chi công việc tương tự được quy định tại Thông tư số 109/2016/TT-</w:t>
            </w:r>
            <w:r w:rsidRPr="00E3009F">
              <w:rPr>
                <w:rFonts w:cs="Times New Roman"/>
                <w:sz w:val="26"/>
                <w:szCs w:val="26"/>
              </w:rPr>
              <w:lastRenderedPageBreak/>
              <w:t>BTC, được sửa đổi, bổ sung bởi Thông tư số 37/2022/TT-BTC.</w:t>
            </w:r>
          </w:p>
          <w:p w14:paraId="491B5DA5"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2. Định mức chi lấy ý kiến chuyên gia: 400.000 đồng/01 phiếu ý kiến đối với QCĐP; 160.000 đồng/01 phiếu ý kiến đối với TCCS.</w:t>
            </w:r>
          </w:p>
          <w:p w14:paraId="39E45896"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3. Chi hội thảo chuyên đề góp ý:</w:t>
            </w:r>
          </w:p>
          <w:p w14:paraId="08273D93"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Chủ trì: 1.200.000 đồng/buổi;</w:t>
            </w:r>
          </w:p>
          <w:p w14:paraId="6471E407"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Thư ký: 560.000 đồng/buổi;</w:t>
            </w:r>
          </w:p>
          <w:p w14:paraId="0045C028" w14:textId="77777777" w:rsidR="00BE569E" w:rsidRPr="00E3009F" w:rsidRDefault="00BE569E" w:rsidP="00A12262">
            <w:pPr>
              <w:spacing w:line="240" w:lineRule="atLeast"/>
              <w:jc w:val="both"/>
              <w:rPr>
                <w:rFonts w:cs="Times New Roman"/>
                <w:sz w:val="26"/>
                <w:szCs w:val="26"/>
              </w:rPr>
            </w:pPr>
            <w:r w:rsidRPr="00E3009F">
              <w:rPr>
                <w:rFonts w:cs="Times New Roman"/>
                <w:sz w:val="26"/>
                <w:szCs w:val="26"/>
              </w:rPr>
              <w:t>Đại biểu: 240.000 đồng/người/buổi.</w:t>
            </w:r>
          </w:p>
          <w:p w14:paraId="349AAE16" w14:textId="2B7A1767" w:rsidR="00E73AA4" w:rsidRPr="00E3009F" w:rsidRDefault="00BE569E" w:rsidP="00A12262">
            <w:pPr>
              <w:spacing w:line="240" w:lineRule="atLeast"/>
              <w:jc w:val="both"/>
              <w:rPr>
                <w:rFonts w:cs="Times New Roman"/>
                <w:sz w:val="26"/>
                <w:szCs w:val="26"/>
              </w:rPr>
            </w:pPr>
            <w:r w:rsidRPr="00E3009F">
              <w:rPr>
                <w:rFonts w:cs="Times New Roman"/>
                <w:sz w:val="26"/>
                <w:szCs w:val="26"/>
              </w:rPr>
              <w:t>4. Tiền công lập báo cáo kết quả rà soát, đánh giá hiệu quả áp dụng TCCS: 800.000 đồng/01 báo cáo; lập báo cáo kết quả rà soát, đánh giá hiệu quả QCĐP: 4.000.000 đồng/01 báo cáo.</w:t>
            </w:r>
          </w:p>
        </w:tc>
        <w:tc>
          <w:tcPr>
            <w:tcW w:w="1816" w:type="dxa"/>
          </w:tcPr>
          <w:p w14:paraId="2D155CA8" w14:textId="26A262F3" w:rsidR="00E73AA4" w:rsidRPr="00E3009F" w:rsidRDefault="00DE354F" w:rsidP="00406205">
            <w:pPr>
              <w:spacing w:line="240" w:lineRule="atLeast"/>
              <w:jc w:val="both"/>
              <w:rPr>
                <w:rFonts w:cs="Times New Roman"/>
                <w:spacing w:val="-8"/>
                <w:sz w:val="26"/>
                <w:szCs w:val="26"/>
              </w:rPr>
            </w:pPr>
            <w:r w:rsidRPr="00E3009F">
              <w:rPr>
                <w:rFonts w:cs="Times New Roman"/>
                <w:spacing w:val="-8"/>
                <w:sz w:val="26"/>
                <w:szCs w:val="26"/>
              </w:rPr>
              <w:lastRenderedPageBreak/>
              <w:t>Các nội dung Thông tư quy định mức chi cụ thể, Nghị quyết quy định mức chi bằng 80% mức chi của Thông tư</w:t>
            </w:r>
          </w:p>
        </w:tc>
      </w:tr>
      <w:tr w:rsidR="00E3009F" w:rsidRPr="00E3009F" w14:paraId="4CC91E76" w14:textId="77777777" w:rsidTr="00A12262">
        <w:trPr>
          <w:trHeight w:val="684"/>
          <w:jc w:val="center"/>
        </w:trPr>
        <w:tc>
          <w:tcPr>
            <w:tcW w:w="851" w:type="dxa"/>
          </w:tcPr>
          <w:p w14:paraId="51F75ED8" w14:textId="77777777" w:rsidR="00E73AA4" w:rsidRPr="00E3009F" w:rsidRDefault="00E73AA4" w:rsidP="00A12262">
            <w:pPr>
              <w:spacing w:line="240" w:lineRule="atLeast"/>
              <w:jc w:val="both"/>
              <w:rPr>
                <w:rFonts w:cs="Times New Roman"/>
                <w:sz w:val="26"/>
                <w:szCs w:val="26"/>
              </w:rPr>
            </w:pPr>
          </w:p>
        </w:tc>
        <w:tc>
          <w:tcPr>
            <w:tcW w:w="1573" w:type="dxa"/>
          </w:tcPr>
          <w:p w14:paraId="19FE75D7" w14:textId="77777777" w:rsidR="00E73AA4" w:rsidRPr="00E3009F" w:rsidRDefault="00E73AA4" w:rsidP="00A12262">
            <w:pPr>
              <w:spacing w:line="240" w:lineRule="atLeast"/>
              <w:jc w:val="both"/>
              <w:rPr>
                <w:rFonts w:cs="Times New Roman"/>
                <w:sz w:val="26"/>
                <w:szCs w:val="26"/>
              </w:rPr>
            </w:pPr>
          </w:p>
        </w:tc>
        <w:tc>
          <w:tcPr>
            <w:tcW w:w="3550" w:type="dxa"/>
          </w:tcPr>
          <w:p w14:paraId="66EA318A" w14:textId="2725A7DF"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bookmarkStart w:id="42" w:name="dieu_18"/>
            <w:r w:rsidRPr="00E3009F">
              <w:rPr>
                <w:bCs/>
                <w:sz w:val="26"/>
                <w:szCs w:val="26"/>
              </w:rPr>
              <w:t>Điều 18. Định mức chi thực hiện nội dung chuyên môn về xây dựng tiêu chuẩn cơ sở do cơ quan nhà nước công bố</w:t>
            </w:r>
            <w:bookmarkEnd w:id="42"/>
          </w:p>
          <w:p w14:paraId="417B6B60"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lastRenderedPageBreak/>
              <w:t>Ngoài các định mức chi quy định tại </w:t>
            </w:r>
            <w:bookmarkStart w:id="43" w:name="tc_13"/>
            <w:r w:rsidRPr="00E3009F">
              <w:rPr>
                <w:sz w:val="26"/>
                <w:szCs w:val="26"/>
              </w:rPr>
              <w:t>Điều 12 Thông tư này</w:t>
            </w:r>
            <w:bookmarkEnd w:id="43"/>
            <w:r w:rsidRPr="00E3009F">
              <w:rPr>
                <w:sz w:val="26"/>
                <w:szCs w:val="26"/>
              </w:rPr>
              <w:t> đối với một số nội dung công việc có tính chất phổ biến quy định tại </w:t>
            </w:r>
            <w:bookmarkStart w:id="44" w:name="tc_14"/>
            <w:r w:rsidRPr="00E3009F">
              <w:rPr>
                <w:sz w:val="26"/>
                <w:szCs w:val="26"/>
              </w:rPr>
              <w:t>khoản 6 Điều 6 Thông tư này</w:t>
            </w:r>
            <w:bookmarkEnd w:id="44"/>
            <w:r w:rsidRPr="00E3009F">
              <w:rPr>
                <w:sz w:val="26"/>
                <w:szCs w:val="26"/>
              </w:rPr>
              <w:t>, định mức chi đối với một số nội dung công việc chuyên môn về xây dựng tiêu chuẩn cơ sở do cơ quan nhà nước công bố được quy định như sau:</w:t>
            </w:r>
          </w:p>
          <w:p w14:paraId="36D31F76"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1. Chi đánh giá thực trạng; nghiên cứu các tiêu chuẩn quốc tế, tiêu chuẩn khu vực, tiêu chuẩn nước ngoài, tài liệu và kết quả nghiên cứu khoa học liên quan; lấy mẫu phân tích, thử nghiệm, khảo nghiệm, vận hành, áp dụng thử (nếu có) để xác định các chỉ tiêu, đặc tính kỹ thuật, yêu cầu quản lý của dự thảo tiêu chuẩn cơ sở: tối đa bằng 70% mức chi nội dung tương tự được quy định tại </w:t>
            </w:r>
            <w:bookmarkStart w:id="45" w:name="tc_15"/>
            <w:r w:rsidRPr="00E3009F">
              <w:rPr>
                <w:sz w:val="26"/>
                <w:szCs w:val="26"/>
              </w:rPr>
              <w:t>điểm a, điểm c và điểm d khoản 1 Điều 15 Thông tư này</w:t>
            </w:r>
            <w:bookmarkEnd w:id="45"/>
            <w:r w:rsidRPr="00E3009F">
              <w:rPr>
                <w:sz w:val="26"/>
                <w:szCs w:val="26"/>
              </w:rPr>
              <w:t>.</w:t>
            </w:r>
          </w:p>
          <w:p w14:paraId="5C6AC6AF"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lastRenderedPageBreak/>
              <w:t>2. Chi mua tài liệu, tiêu chuẩn quốc tế, tiêu chuẩn khu vực, tiêu chuẩn nước ngoài, kết quả nghiên cứu khoa học liên quan: thực hiện theo giá niêm yết hoặc báo giá hoặc giá bán của tài liệu, tiêu chuẩn cần mua.</w:t>
            </w:r>
          </w:p>
          <w:p w14:paraId="07551918"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3. Tiền công biên soạn dự thảo tiêu chuẩn cơ sở và thuyết minh dự thảo: tối đa 20.000.000 đồng/01 dự thảo tiêu chuẩn kèm thuyết minh.</w:t>
            </w:r>
          </w:p>
          <w:p w14:paraId="66B06850"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4. Chi hội thảo chuyên đề, hội thảo góp ý hồ sơ dự thảo tiêu chuẩn cơ sở: Chủ trì: 1.000.000 đồng/buổi;</w:t>
            </w:r>
          </w:p>
          <w:p w14:paraId="189EA08D"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Thư ký: 500.000 đồng/buổi;</w:t>
            </w:r>
          </w:p>
          <w:p w14:paraId="188212BF"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Đại biểu tham dự: 200.000 đồng/người/buổi.</w:t>
            </w:r>
          </w:p>
          <w:p w14:paraId="5115F4D7"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5. Chi xin ý kiến chuyên gia đối với dự thảo tiêu chuẩn cơ sở: tối đa 500.000 đồng/01 phiếu ý kiến.</w:t>
            </w:r>
          </w:p>
          <w:p w14:paraId="525EB292"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6. Chi tổng hợp, xử lý các ý kiến góp ý đối với dự thảo tiêu chuẩn cơ sở: tối đa 1.000.000 đồng/bảng tổng hợp.</w:t>
            </w:r>
          </w:p>
          <w:p w14:paraId="51FB65C3" w14:textId="05B274CE" w:rsidR="00E73AA4"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lastRenderedPageBreak/>
              <w:t>7. Chi thẩm tra dự thảo tiêu chuẩn cơ sở: nếu thẩm tra theo phương pháp hội đồng thì áp dụng mức chi cho thành viên hội đồng tối đa bằng 70% mức chi đối với thành viên họp hội đồng thẩm định dự thảo tiêu chuẩn quốc gia; nếu thẩm tra theo phương pháp chuyên gia thì mức chi tối đa là 1.000.000 đồng/01 phiếu thẩm tra.</w:t>
            </w:r>
          </w:p>
        </w:tc>
        <w:tc>
          <w:tcPr>
            <w:tcW w:w="2872" w:type="dxa"/>
          </w:tcPr>
          <w:p w14:paraId="347BCD92" w14:textId="078CF8A1" w:rsidR="00E73AA4" w:rsidRPr="00E3009F" w:rsidRDefault="00E73AA4" w:rsidP="00A12262">
            <w:pPr>
              <w:spacing w:line="240" w:lineRule="atLeast"/>
              <w:jc w:val="both"/>
              <w:rPr>
                <w:rFonts w:cs="Times New Roman"/>
                <w:spacing w:val="-6"/>
                <w:sz w:val="26"/>
                <w:szCs w:val="26"/>
              </w:rPr>
            </w:pPr>
          </w:p>
        </w:tc>
        <w:tc>
          <w:tcPr>
            <w:tcW w:w="1581" w:type="dxa"/>
          </w:tcPr>
          <w:p w14:paraId="0C8A2AD1" w14:textId="77777777" w:rsidR="00E73AA4" w:rsidRPr="00E3009F" w:rsidRDefault="00E73AA4" w:rsidP="00A12262">
            <w:pPr>
              <w:spacing w:line="240" w:lineRule="atLeast"/>
              <w:jc w:val="both"/>
              <w:rPr>
                <w:rFonts w:cs="Times New Roman"/>
                <w:sz w:val="26"/>
                <w:szCs w:val="26"/>
              </w:rPr>
            </w:pPr>
          </w:p>
        </w:tc>
        <w:tc>
          <w:tcPr>
            <w:tcW w:w="3119" w:type="dxa"/>
          </w:tcPr>
          <w:p w14:paraId="47D3B0F9" w14:textId="77777777" w:rsidR="00BA52CD" w:rsidRPr="00E3009F" w:rsidRDefault="00BA52CD" w:rsidP="00A12262">
            <w:pPr>
              <w:spacing w:line="240" w:lineRule="atLeast"/>
              <w:jc w:val="both"/>
              <w:rPr>
                <w:rFonts w:cs="Times New Roman"/>
                <w:sz w:val="26"/>
                <w:szCs w:val="26"/>
              </w:rPr>
            </w:pPr>
            <w:r w:rsidRPr="00E3009F">
              <w:rPr>
                <w:rFonts w:cs="Times New Roman"/>
                <w:bCs/>
                <w:sz w:val="26"/>
                <w:szCs w:val="26"/>
              </w:rPr>
              <w:t>Điều 8. Định mức chi thực hiện nội dung chuyên môn về xây dựng TCCS do cơ quan nhà nước công bố</w:t>
            </w:r>
          </w:p>
          <w:p w14:paraId="1F391B6C"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lastRenderedPageBreak/>
              <w:t>Ngoài các định mức chi quy định tại Điều 3 Nghị quyết này đối với một số nội dung công việc có tính chất phổ biến quy định tại khoản 6 Điều 6 Thông tư 23/2026/TT-BKHCN, định mức chi đối với một số nội dung công việc chuyên môn về xây dựng TCCS do cơ quan nhà nước công bố được quy định như sau:</w:t>
            </w:r>
          </w:p>
          <w:p w14:paraId="6CDDC557"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 xml:space="preserve">1. Chi đánh giá thực trạng; nghiên cứu các tiêu chuẩn quốc tế, tiêu chuẩn khu vực, tiêu chuẩn nước ngoài, tài liệu và kết quả nghiên cứu khoa học liên quan; lấy mẫu phân tích, thử nghiệm, khảo nghiệm, vận hành, áp dụng thử (nếu có) để xác định các chỉ tiêu, đặc tính kỹ thuật, yêu cầu quản lý của dự thảo TCCS: bằng 56% mức chi nội dung tương tự được quy định tại điểm a, điểm c và điểm d khoản 1 Điều 15 </w:t>
            </w:r>
            <w:r w:rsidRPr="00E3009F">
              <w:rPr>
                <w:rFonts w:cs="Times New Roman"/>
                <w:sz w:val="26"/>
                <w:szCs w:val="26"/>
              </w:rPr>
              <w:lastRenderedPageBreak/>
              <w:t>Thông tư 23/2026/TT-BKHCN.</w:t>
            </w:r>
          </w:p>
          <w:p w14:paraId="12E882E9"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2. Chi mua tài liệu, tiêu chuẩn quốc tế, tiêu chuẩn khu vực, tiêu chuẩn nước ngoài, kết quả nghiên cứu khoa học liên quan: thực hiện theo giá niêm yết hoặc báo giá hoặc giá bán của tài liệu, tiêu chuẩn cần mua.</w:t>
            </w:r>
          </w:p>
          <w:p w14:paraId="7CF2D21F"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3. Tiền công biên soạn dự thảo TCCS và thuyết minh dự thảo: 16.000.000 đồng/01 dự thảo tiêu chuẩn kèm thuyết minh.</w:t>
            </w:r>
          </w:p>
          <w:p w14:paraId="0A73F949"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 xml:space="preserve">4. Chi hội thảo chuyên đề, hội thảo góp ý hồ sơ dự thảo TCCS: </w:t>
            </w:r>
          </w:p>
          <w:p w14:paraId="1E2F091D"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Chủ trì: 800.000 đồng/buổi;</w:t>
            </w:r>
          </w:p>
          <w:p w14:paraId="0D7D5BBB"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Thư ký: 400.000 đồng/buổi;</w:t>
            </w:r>
          </w:p>
          <w:p w14:paraId="1D34BF45"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Đại biểu tham dự: 160.000 đồng/người/buổi.</w:t>
            </w:r>
          </w:p>
          <w:p w14:paraId="0B9A8599"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5. Chi xin ý kiến chuyên gia đối với dự thảo TCCS: 400.000 đồng/01 phiếu ý kiến.</w:t>
            </w:r>
          </w:p>
          <w:p w14:paraId="4203F5A8"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lastRenderedPageBreak/>
              <w:t>6. Chi tổng hợp, xử lý các ý kiến góp ý đối với dự thảo TCCS: 800.000 đồng/bảng tổng hợp.</w:t>
            </w:r>
          </w:p>
          <w:p w14:paraId="2B99400F" w14:textId="26078868" w:rsidR="00E73AA4" w:rsidRPr="00E3009F" w:rsidRDefault="00BA52CD" w:rsidP="00A12262">
            <w:pPr>
              <w:spacing w:line="240" w:lineRule="atLeast"/>
              <w:jc w:val="both"/>
              <w:rPr>
                <w:rFonts w:cs="Times New Roman"/>
                <w:sz w:val="26"/>
                <w:szCs w:val="26"/>
              </w:rPr>
            </w:pPr>
            <w:r w:rsidRPr="00E3009F">
              <w:rPr>
                <w:rFonts w:cs="Times New Roman"/>
                <w:sz w:val="26"/>
                <w:szCs w:val="26"/>
              </w:rPr>
              <w:t>7. Chi thẩm tra dự thảo TCCS: nếu thẩm tra theo phương pháp hội đồng thì áp dụng mức chi cho thành viên hội đồng bằng 56% mức chi đối với thành viên họp hội đồng thẩm định dự thảo tiêu chuẩn quốc gia; nếu thẩm tra theo phương pháp chuyên gia thì mức chi là 800.000 đồng/01 phiếu thẩm tra.</w:t>
            </w:r>
          </w:p>
        </w:tc>
        <w:tc>
          <w:tcPr>
            <w:tcW w:w="1816" w:type="dxa"/>
          </w:tcPr>
          <w:p w14:paraId="313B58C4" w14:textId="7A19945B" w:rsidR="00E73AA4" w:rsidRPr="00E3009F" w:rsidRDefault="00DE354F" w:rsidP="00406205">
            <w:pPr>
              <w:spacing w:line="240" w:lineRule="atLeast"/>
              <w:jc w:val="both"/>
              <w:rPr>
                <w:rFonts w:cs="Times New Roman"/>
                <w:spacing w:val="-8"/>
                <w:sz w:val="26"/>
                <w:szCs w:val="26"/>
              </w:rPr>
            </w:pPr>
            <w:r w:rsidRPr="00E3009F">
              <w:rPr>
                <w:rFonts w:cs="Times New Roman"/>
                <w:spacing w:val="-8"/>
                <w:sz w:val="26"/>
                <w:szCs w:val="26"/>
              </w:rPr>
              <w:lastRenderedPageBreak/>
              <w:t xml:space="preserve">Các nội dung Thông tư quy định mức chi cụ thể, Nghị quyết </w:t>
            </w:r>
            <w:r w:rsidRPr="00E3009F">
              <w:rPr>
                <w:rFonts w:cs="Times New Roman"/>
                <w:spacing w:val="-8"/>
                <w:sz w:val="26"/>
                <w:szCs w:val="26"/>
              </w:rPr>
              <w:lastRenderedPageBreak/>
              <w:t>quy định mức chi bằng 80% mức chi của Thông tư</w:t>
            </w:r>
          </w:p>
        </w:tc>
      </w:tr>
      <w:tr w:rsidR="00E3009F" w:rsidRPr="00E3009F" w14:paraId="2CC1E0BE" w14:textId="77777777" w:rsidTr="00A12262">
        <w:trPr>
          <w:trHeight w:val="684"/>
          <w:jc w:val="center"/>
        </w:trPr>
        <w:tc>
          <w:tcPr>
            <w:tcW w:w="851" w:type="dxa"/>
          </w:tcPr>
          <w:p w14:paraId="21721760" w14:textId="77777777" w:rsidR="00E73AA4" w:rsidRPr="00E3009F" w:rsidRDefault="00E73AA4" w:rsidP="00A12262">
            <w:pPr>
              <w:spacing w:line="240" w:lineRule="atLeast"/>
              <w:jc w:val="both"/>
              <w:rPr>
                <w:rFonts w:cs="Times New Roman"/>
                <w:sz w:val="26"/>
                <w:szCs w:val="26"/>
              </w:rPr>
            </w:pPr>
          </w:p>
        </w:tc>
        <w:tc>
          <w:tcPr>
            <w:tcW w:w="1573" w:type="dxa"/>
          </w:tcPr>
          <w:p w14:paraId="30F77121" w14:textId="77777777" w:rsidR="00E73AA4" w:rsidRPr="00E3009F" w:rsidRDefault="00E73AA4" w:rsidP="00A12262">
            <w:pPr>
              <w:spacing w:line="240" w:lineRule="atLeast"/>
              <w:jc w:val="both"/>
              <w:rPr>
                <w:rFonts w:cs="Times New Roman"/>
                <w:sz w:val="26"/>
                <w:szCs w:val="26"/>
              </w:rPr>
            </w:pPr>
          </w:p>
        </w:tc>
        <w:tc>
          <w:tcPr>
            <w:tcW w:w="3550" w:type="dxa"/>
          </w:tcPr>
          <w:p w14:paraId="6ACE406E" w14:textId="3D53B0D4"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bookmarkStart w:id="46" w:name="dieu_21"/>
            <w:r w:rsidRPr="00E3009F">
              <w:rPr>
                <w:bCs/>
                <w:sz w:val="26"/>
                <w:szCs w:val="26"/>
              </w:rPr>
              <w:t>Điều 21. Định mức chi thực hiện hoạt động chuyên môn về đào tạo, bồi dưỡng nghiệp vụ về tiêu chuẩn, quy chuẩn kỹ thuật; phát triển nguồn nhân lực chất lượng cao, đội ngũ chuyên gia đạt trình độ quốc tế trong lĩnh vực tiêu chuẩn, quy chuẩn kỹ thuật</w:t>
            </w:r>
            <w:bookmarkEnd w:id="46"/>
          </w:p>
          <w:p w14:paraId="058AB1FA"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Ngoài các định mức chi quy định tại </w:t>
            </w:r>
            <w:bookmarkStart w:id="47" w:name="tc_23"/>
            <w:r w:rsidRPr="00E3009F">
              <w:rPr>
                <w:sz w:val="26"/>
                <w:szCs w:val="26"/>
              </w:rPr>
              <w:t>Điều 12 Thông tư này</w:t>
            </w:r>
            <w:bookmarkEnd w:id="47"/>
            <w:r w:rsidRPr="00E3009F">
              <w:rPr>
                <w:sz w:val="26"/>
                <w:szCs w:val="26"/>
              </w:rPr>
              <w:t xml:space="preserve"> đối với một số nội dung </w:t>
            </w:r>
            <w:r w:rsidRPr="00E3009F">
              <w:rPr>
                <w:sz w:val="26"/>
                <w:szCs w:val="26"/>
              </w:rPr>
              <w:lastRenderedPageBreak/>
              <w:t>công việc có tính chất phổ biến quy định tại </w:t>
            </w:r>
            <w:bookmarkStart w:id="48" w:name="tc_24"/>
            <w:r w:rsidRPr="00E3009F">
              <w:rPr>
                <w:sz w:val="26"/>
                <w:szCs w:val="26"/>
              </w:rPr>
              <w:t>Điều 8 Thông tư này</w:t>
            </w:r>
            <w:bookmarkEnd w:id="48"/>
            <w:r w:rsidRPr="00E3009F">
              <w:rPr>
                <w:sz w:val="26"/>
                <w:szCs w:val="26"/>
              </w:rPr>
              <w:t>, định mức chi đối với một số nội dung công việc chuyên môn về đào tạo, bồi dưỡng nghiệp vụ về tiêu chuẩn, quy chuẩn kỹ thuật; phát triển nguồn nhân lực chất lượng cao, đội ngũ chuyên gia đạt trình độ quốc tế trong lĩnh vực tiêu chuẩn, quy chuẩn kỹ thuật được quy định như sau:</w:t>
            </w:r>
          </w:p>
          <w:p w14:paraId="34DA7A98"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1. Chi mua bản quyền tài liệu, giáo trình, sách phục vụ công tác đào tạo, tập huấn về tiêu chuẩn, quy chuẩn kỹ thuật: xác định theo giá niêm yết hoặc báo giá của tổ chức giữ bản quyền tài liệu, giáo trình.</w:t>
            </w:r>
          </w:p>
          <w:p w14:paraId="3C9DEA97"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2. Phí đăng ký các khóa đào tạo, tập huấn trong nước: thực hiện theo yêu cầu, giá niêm yết hoặc báo giá của nơi tổ chức đào tạo, bồi dưỡng.</w:t>
            </w:r>
          </w:p>
          <w:p w14:paraId="113D86BD"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3. Chi phát triển chương trình đào tạo, học phần, môn học về tiêu chuẩn, quy chuẩn kỹ thuật trong các trường đại học, cơ sở </w:t>
            </w:r>
            <w:r w:rsidRPr="00E3009F">
              <w:rPr>
                <w:sz w:val="26"/>
                <w:szCs w:val="26"/>
              </w:rPr>
              <w:lastRenderedPageBreak/>
              <w:t>giáo dục nghề nghiệp: được áp dụng nội dung chi và định mức chi quy định tại </w:t>
            </w:r>
            <w:bookmarkStart w:id="49" w:name="dc_7"/>
            <w:r w:rsidRPr="00E3009F">
              <w:rPr>
                <w:sz w:val="26"/>
                <w:szCs w:val="26"/>
              </w:rPr>
              <w:t>Điều 4 Thông tư số 100/2025/TT-BTC</w:t>
            </w:r>
            <w:bookmarkEnd w:id="49"/>
            <w:r w:rsidRPr="00E3009F">
              <w:rPr>
                <w:sz w:val="26"/>
                <w:szCs w:val="26"/>
              </w:rPr>
              <w:t>; tiền công lao động chi trả cho các cá nhân tham gia xây dựng chương trình đào tạo, đề cương học phần, môn học và biên soạn giáo trình được thực hiện theo hệ số, phương pháp xác định và mức thù lao của các chức danh được quy định tại </w:t>
            </w:r>
            <w:bookmarkStart w:id="50" w:name="dc_8"/>
            <w:r w:rsidRPr="00E3009F">
              <w:rPr>
                <w:sz w:val="26"/>
                <w:szCs w:val="26"/>
              </w:rPr>
              <w:t>Điều 9 và Điều 10 Thông tư số 39/2025/TT-BKHCN</w:t>
            </w:r>
            <w:bookmarkEnd w:id="50"/>
            <w:r w:rsidRPr="00E3009F">
              <w:rPr>
                <w:sz w:val="26"/>
                <w:szCs w:val="26"/>
              </w:rPr>
              <w:t>.</w:t>
            </w:r>
          </w:p>
          <w:p w14:paraId="0066B903"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Căn cứ tính chất, khối lượng, mức độ phức tạp của công việc và yêu cầu về chất lượng sản phẩm, đơn vị chủ trì xác định số ngày công làm cơ sở tính thù lao cho các thành viên tham gia; việc xác định phải gắn với nội dung công việc và sản phẩm cụ thể, có thuyết minh rõ căn cứ; kết quả xác định được trình cấp có thẩm quyền phê duyệt, bảo đảm tiết kiệm, hiệu quả.</w:t>
            </w:r>
          </w:p>
          <w:p w14:paraId="7FD44BFA" w14:textId="77777777" w:rsidR="00DD25EC"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lastRenderedPageBreak/>
              <w:t>4. Chi đào tạo ở nước ngoài cho các chuyên gia lĩnh vực tiêu chuẩn, quy chuẩn kỹ thuật đạt trình độ quốc tế: áp dụng nội dung chi và định mức chi được quy định tại </w:t>
            </w:r>
            <w:bookmarkStart w:id="51" w:name="dc_9"/>
            <w:r w:rsidRPr="00E3009F">
              <w:rPr>
                <w:sz w:val="26"/>
                <w:szCs w:val="26"/>
              </w:rPr>
              <w:t>khoản 3 Điều 4 Thông tư số 100/2025/TT-BTC</w:t>
            </w:r>
            <w:bookmarkEnd w:id="51"/>
            <w:r w:rsidRPr="00E3009F">
              <w:rPr>
                <w:sz w:val="26"/>
                <w:szCs w:val="26"/>
              </w:rPr>
              <w:t>.</w:t>
            </w:r>
          </w:p>
          <w:p w14:paraId="1FBBBBC2" w14:textId="55860A6D" w:rsidR="00E73AA4" w:rsidRPr="00E3009F" w:rsidRDefault="00DD25EC"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5. Chi thuê chuyên gia, giảng viên trong nước để đào tạo nguồn nhân lực chất lượng cao, đạt trình độ quốc tế trong lĩnh vực tiêu chuẩn, quy chuẩn kỹ thuật: tiền công được xác định theo yêu cầu của chuyên gia, giảng viên phù hợp với yêu cầu đặt hàng của cơ quan chủ trì và chuẩn đầu vào của chương trình đào tạo chất lượng cao, đạt trình độ quốc tế.</w:t>
            </w:r>
          </w:p>
        </w:tc>
        <w:tc>
          <w:tcPr>
            <w:tcW w:w="2872" w:type="dxa"/>
          </w:tcPr>
          <w:p w14:paraId="001EC0DF" w14:textId="462AE944" w:rsidR="00E73AA4" w:rsidRPr="00E3009F" w:rsidRDefault="00E73AA4" w:rsidP="00A12262">
            <w:pPr>
              <w:spacing w:line="240" w:lineRule="atLeast"/>
              <w:jc w:val="both"/>
              <w:rPr>
                <w:rFonts w:cs="Times New Roman"/>
                <w:spacing w:val="-6"/>
                <w:sz w:val="26"/>
                <w:szCs w:val="26"/>
              </w:rPr>
            </w:pPr>
          </w:p>
        </w:tc>
        <w:tc>
          <w:tcPr>
            <w:tcW w:w="1581" w:type="dxa"/>
          </w:tcPr>
          <w:p w14:paraId="36D9D1C0" w14:textId="77777777" w:rsidR="00E73AA4" w:rsidRPr="00E3009F" w:rsidRDefault="00E73AA4" w:rsidP="00A12262">
            <w:pPr>
              <w:spacing w:line="240" w:lineRule="atLeast"/>
              <w:jc w:val="both"/>
              <w:rPr>
                <w:rFonts w:cs="Times New Roman"/>
                <w:sz w:val="26"/>
                <w:szCs w:val="26"/>
              </w:rPr>
            </w:pPr>
          </w:p>
        </w:tc>
        <w:tc>
          <w:tcPr>
            <w:tcW w:w="3119" w:type="dxa"/>
          </w:tcPr>
          <w:p w14:paraId="43DFC4E5" w14:textId="77777777" w:rsidR="00BA52CD" w:rsidRPr="00E3009F" w:rsidRDefault="00BA52CD" w:rsidP="00A12262">
            <w:pPr>
              <w:spacing w:line="240" w:lineRule="atLeast"/>
              <w:jc w:val="both"/>
              <w:rPr>
                <w:rFonts w:cs="Times New Roman"/>
                <w:sz w:val="26"/>
                <w:szCs w:val="26"/>
              </w:rPr>
            </w:pPr>
            <w:r w:rsidRPr="00E3009F">
              <w:rPr>
                <w:rFonts w:cs="Times New Roman"/>
                <w:bCs/>
                <w:sz w:val="26"/>
                <w:szCs w:val="26"/>
              </w:rPr>
              <w:t xml:space="preserve">Điều 9. Định mức chi thực hiện hoạt động chuyên môn về đào tạo, bồi dưỡng nghiệp vụ về tiêu chuẩn, quy chuẩn kỹ thuật; phát triển nguồn nhân lực chất lượng cao, đội ngũ chuyên gia đạt trình độ quốc tế trong lĩnh vực </w:t>
            </w:r>
            <w:r w:rsidRPr="00E3009F">
              <w:rPr>
                <w:rFonts w:cs="Times New Roman"/>
                <w:sz w:val="26"/>
                <w:szCs w:val="26"/>
              </w:rPr>
              <w:t>tiêu chuẩn</w:t>
            </w:r>
            <w:r w:rsidRPr="00E3009F">
              <w:rPr>
                <w:rFonts w:cs="Times New Roman"/>
                <w:bCs/>
                <w:sz w:val="26"/>
                <w:szCs w:val="26"/>
              </w:rPr>
              <w:t>, quy chuẩn kỹ thuật</w:t>
            </w:r>
          </w:p>
          <w:p w14:paraId="7A916027"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lastRenderedPageBreak/>
              <w:t>Ngoài các định mức chi quy định tại Điều 3 Nghị quyết này đối với một số nội dung công việc có tính chất phổ biến quy định tại Điều 8 Thông tư 23/2026/TT-BKHCN, định mức chi đối với một số nội dung công việc chuyên môn về đào tạo, bồi dưỡng nghiệp vụ về tiêu chuẩn, quy chuẩn kỹ thuật; phát triển nguồn nhân lực chất lượng cao, đội ngũ chuyên gia đạt trình độ quốc tế trong lĩnh vực tiêu chuẩn, quy chuẩn kỹ thuật được quy định như sau:</w:t>
            </w:r>
          </w:p>
          <w:p w14:paraId="3622A5A4"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1. Chi mua bản quyền tài liệu, giáo trình, sách phục vụ công tác đào tạo, tập huấn về tiêu chuẩn, quy chuẩn kỹ thuật: xác định theo giá niêm yết hoặc báo giá của tổ chức giữ bản quyền tài liệu, giáo trình.</w:t>
            </w:r>
          </w:p>
          <w:p w14:paraId="6A394696"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 xml:space="preserve">2. Phí đăng ký các khóa đào tạo, tập huấn trong nước: </w:t>
            </w:r>
            <w:r w:rsidRPr="00E3009F">
              <w:rPr>
                <w:rFonts w:cs="Times New Roman"/>
                <w:sz w:val="26"/>
                <w:szCs w:val="26"/>
              </w:rPr>
              <w:lastRenderedPageBreak/>
              <w:t>thực hiện theo yêu cầu, giá niêm yết hoặc báo giá của nơi tổ chức đào tạo, bồi dưỡng.</w:t>
            </w:r>
          </w:p>
          <w:p w14:paraId="5D508911" w14:textId="24F224A8" w:rsidR="00E73AA4" w:rsidRPr="00E3009F" w:rsidRDefault="00BA52CD" w:rsidP="00A12262">
            <w:pPr>
              <w:spacing w:line="240" w:lineRule="atLeast"/>
              <w:jc w:val="both"/>
              <w:rPr>
                <w:rFonts w:cs="Times New Roman"/>
                <w:sz w:val="26"/>
                <w:szCs w:val="26"/>
              </w:rPr>
            </w:pPr>
            <w:r w:rsidRPr="00E3009F">
              <w:rPr>
                <w:rFonts w:cs="Times New Roman"/>
                <w:sz w:val="26"/>
                <w:szCs w:val="26"/>
              </w:rPr>
              <w:t>3. Chi thuê chuyên gia, giảng viên trong nước để đào tạo nguồn nhân lực chất lượng cao, đạt trình độ quốc tế trong lĩnh vực tiêu chuẩn, quy chuẩn kỹ thuật: tiền công được xác định theo yêu cầu của chuyên gia, giảng viên phù hợp với yêu cầu đặt hàng của cơ quan chủ trì và chuẩn đầu vào của chương trình đào tạo chất lượng cao, đạt trình độ quốc tế.</w:t>
            </w:r>
          </w:p>
        </w:tc>
        <w:tc>
          <w:tcPr>
            <w:tcW w:w="1816" w:type="dxa"/>
          </w:tcPr>
          <w:p w14:paraId="75A742FD" w14:textId="6CCB236D" w:rsidR="00E73AA4" w:rsidRPr="00E3009F" w:rsidRDefault="00E73AA4" w:rsidP="00406205">
            <w:pPr>
              <w:spacing w:line="240" w:lineRule="atLeast"/>
              <w:jc w:val="both"/>
              <w:rPr>
                <w:rFonts w:cs="Times New Roman"/>
                <w:spacing w:val="-8"/>
                <w:sz w:val="26"/>
                <w:szCs w:val="26"/>
              </w:rPr>
            </w:pPr>
          </w:p>
        </w:tc>
      </w:tr>
      <w:tr w:rsidR="00E3009F" w:rsidRPr="00E3009F" w14:paraId="7576FFF4" w14:textId="77777777" w:rsidTr="00A12262">
        <w:trPr>
          <w:trHeight w:val="684"/>
          <w:jc w:val="center"/>
        </w:trPr>
        <w:tc>
          <w:tcPr>
            <w:tcW w:w="851" w:type="dxa"/>
          </w:tcPr>
          <w:p w14:paraId="0D96EEDE" w14:textId="77777777" w:rsidR="00E73AA4" w:rsidRPr="00E3009F" w:rsidRDefault="00E73AA4" w:rsidP="00A12262">
            <w:pPr>
              <w:spacing w:line="240" w:lineRule="atLeast"/>
              <w:jc w:val="both"/>
              <w:rPr>
                <w:rFonts w:cs="Times New Roman"/>
                <w:sz w:val="26"/>
                <w:szCs w:val="26"/>
              </w:rPr>
            </w:pPr>
          </w:p>
          <w:p w14:paraId="455EEDDC" w14:textId="72566521" w:rsidR="00E73AA4" w:rsidRPr="00E3009F" w:rsidRDefault="00E73AA4" w:rsidP="00A12262">
            <w:pPr>
              <w:spacing w:line="240" w:lineRule="atLeast"/>
              <w:jc w:val="both"/>
              <w:rPr>
                <w:rFonts w:cs="Times New Roman"/>
                <w:sz w:val="26"/>
                <w:szCs w:val="26"/>
              </w:rPr>
            </w:pPr>
            <w:r w:rsidRPr="00E3009F">
              <w:rPr>
                <w:rFonts w:cs="Times New Roman"/>
                <w:sz w:val="26"/>
                <w:szCs w:val="26"/>
              </w:rPr>
              <w:t>3</w:t>
            </w:r>
          </w:p>
        </w:tc>
        <w:tc>
          <w:tcPr>
            <w:tcW w:w="1573" w:type="dxa"/>
          </w:tcPr>
          <w:p w14:paraId="5D2926C9" w14:textId="5A7FF197" w:rsidR="00E73AA4" w:rsidRPr="00E3009F" w:rsidRDefault="00E73AA4" w:rsidP="00A12262">
            <w:pPr>
              <w:spacing w:line="240" w:lineRule="atLeast"/>
              <w:jc w:val="both"/>
              <w:rPr>
                <w:rFonts w:cs="Times New Roman"/>
                <w:sz w:val="26"/>
                <w:szCs w:val="26"/>
              </w:rPr>
            </w:pPr>
            <w:r w:rsidRPr="00E3009F">
              <w:rPr>
                <w:rFonts w:cs="Times New Roman"/>
                <w:sz w:val="26"/>
                <w:szCs w:val="26"/>
              </w:rPr>
              <w:t>Nguồn kinh phí thực hiện</w:t>
            </w:r>
          </w:p>
        </w:tc>
        <w:tc>
          <w:tcPr>
            <w:tcW w:w="3550" w:type="dxa"/>
          </w:tcPr>
          <w:p w14:paraId="0132644F" w14:textId="77777777" w:rsidR="00BA52CD" w:rsidRPr="00E3009F" w:rsidRDefault="00BA52CD" w:rsidP="00A12262">
            <w:pPr>
              <w:pStyle w:val="ThngthngWeb"/>
              <w:shd w:val="clear" w:color="auto" w:fill="FFFFFF"/>
              <w:spacing w:before="0" w:beforeAutospacing="0" w:after="0" w:afterAutospacing="0" w:line="240" w:lineRule="atLeast"/>
              <w:jc w:val="both"/>
              <w:rPr>
                <w:sz w:val="26"/>
                <w:szCs w:val="26"/>
              </w:rPr>
            </w:pPr>
            <w:bookmarkStart w:id="52" w:name="dieu_4"/>
            <w:r w:rsidRPr="00E3009F">
              <w:rPr>
                <w:bCs/>
                <w:sz w:val="26"/>
                <w:szCs w:val="26"/>
              </w:rPr>
              <w:t>Điều 4. Nguồn kinh phí thực hiện</w:t>
            </w:r>
            <w:bookmarkEnd w:id="52"/>
          </w:p>
          <w:p w14:paraId="053EE273" w14:textId="77777777" w:rsidR="00BA52CD" w:rsidRPr="00E3009F" w:rsidRDefault="00BA52C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1. Nguồn kinh phí ngân sách nhà nước lĩnh vực khoa học, công nghệ, đổi mới sáng tạo và chuyển đổi số cho hoạt động tiêu chuẩn, hoạt động quy chuẩn kỹ thuật được quy định tại Nghị </w:t>
            </w:r>
            <w:r w:rsidRPr="00E3009F">
              <w:rPr>
                <w:sz w:val="26"/>
                <w:szCs w:val="26"/>
              </w:rPr>
              <w:lastRenderedPageBreak/>
              <w:t>định số </w:t>
            </w:r>
            <w:bookmarkStart w:id="53" w:name="tvpllink_lqwcexhngc_1"/>
            <w:r w:rsidRPr="00E3009F">
              <w:rPr>
                <w:sz w:val="26"/>
                <w:szCs w:val="26"/>
              </w:rPr>
              <w:fldChar w:fldCharType="begin"/>
            </w:r>
            <w:r w:rsidRPr="00E3009F">
              <w:rPr>
                <w:sz w:val="26"/>
                <w:szCs w:val="26"/>
              </w:rPr>
              <w:instrText xml:space="preserve"> HYPERLINK "https://thuvienphapluat.vn/van-ban/Dau-tu/Nghi-dinh-265-2025-ND-CP-huong-dan-Luat-Khoa-hoc-Cong-nghe-va-Doi-moi-sang-tao-677342.aspx" \t "_blank" </w:instrText>
            </w:r>
            <w:r w:rsidRPr="00E3009F">
              <w:rPr>
                <w:sz w:val="26"/>
                <w:szCs w:val="26"/>
              </w:rPr>
              <w:fldChar w:fldCharType="separate"/>
            </w:r>
            <w:r w:rsidRPr="00E3009F">
              <w:rPr>
                <w:rStyle w:val="Siuktni"/>
                <w:color w:val="auto"/>
                <w:sz w:val="26"/>
                <w:szCs w:val="26"/>
                <w:u w:val="none"/>
              </w:rPr>
              <w:t>265/2025/NĐ-CP</w:t>
            </w:r>
            <w:r w:rsidRPr="00E3009F">
              <w:rPr>
                <w:sz w:val="26"/>
                <w:szCs w:val="26"/>
              </w:rPr>
              <w:fldChar w:fldCharType="end"/>
            </w:r>
            <w:bookmarkEnd w:id="53"/>
            <w:r w:rsidRPr="00E3009F">
              <w:rPr>
                <w:sz w:val="26"/>
                <w:szCs w:val="26"/>
              </w:rPr>
              <w:t> ngày 14 tháng 10 năm 2025 của Chính phủ quy định chi tiết và hướng dẫn thi hành một số điều của </w:t>
            </w:r>
            <w:bookmarkStart w:id="54" w:name="tvpllink_gftnlsauya_2"/>
            <w:r w:rsidRPr="00E3009F">
              <w:rPr>
                <w:sz w:val="26"/>
                <w:szCs w:val="26"/>
              </w:rPr>
              <w:fldChar w:fldCharType="begin"/>
            </w:r>
            <w:r w:rsidRPr="00E3009F">
              <w:rPr>
                <w:sz w:val="26"/>
                <w:szCs w:val="26"/>
              </w:rPr>
              <w:instrText xml:space="preserve"> HYPERLINK "https://thuvienphapluat.vn/van-ban/Linh-vuc-khac/Luat-Khoa-hoc-Cong-nghe-va-Doi-moi-sang-tao-2025-so-93-2025-QH15-581164.aspx" \t "_blank" </w:instrText>
            </w:r>
            <w:r w:rsidRPr="00E3009F">
              <w:rPr>
                <w:sz w:val="26"/>
                <w:szCs w:val="26"/>
              </w:rPr>
              <w:fldChar w:fldCharType="separate"/>
            </w:r>
            <w:r w:rsidRPr="00E3009F">
              <w:rPr>
                <w:rStyle w:val="Siuktni"/>
                <w:color w:val="auto"/>
                <w:sz w:val="26"/>
                <w:szCs w:val="26"/>
                <w:u w:val="none"/>
              </w:rPr>
              <w:t>Luật Khoa học, Công nghệ và Đổi mới sáng tạo</w:t>
            </w:r>
            <w:r w:rsidRPr="00E3009F">
              <w:rPr>
                <w:sz w:val="26"/>
                <w:szCs w:val="26"/>
              </w:rPr>
              <w:fldChar w:fldCharType="end"/>
            </w:r>
            <w:bookmarkEnd w:id="54"/>
            <w:r w:rsidRPr="00E3009F">
              <w:rPr>
                <w:sz w:val="26"/>
                <w:szCs w:val="26"/>
              </w:rPr>
              <w:t> về tài chính và đầu tư trong khoa học, công nghệ và đổi mới sáng tạo.</w:t>
            </w:r>
          </w:p>
          <w:p w14:paraId="58820EA6" w14:textId="77777777" w:rsidR="00BA52CD" w:rsidRPr="00E3009F" w:rsidRDefault="00BA52C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2. Nguồn kinh phí hợp pháp khác ngoài ngân sách nhà nước để thực hiện hoạt động tiêu chuẩn, hoạt động quy chuẩn kỹ thuật, bao gồm:</w:t>
            </w:r>
          </w:p>
          <w:p w14:paraId="1078D679" w14:textId="77777777" w:rsidR="00BA52CD" w:rsidRPr="00E3009F" w:rsidRDefault="00BA52C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a) Nguồn đóng góp, tài trợ, hỗ trợ tự nguyện của tổ chức, doanh nghiệp, cá nhân trong nước và nước ngoài;</w:t>
            </w:r>
          </w:p>
          <w:p w14:paraId="06C8A438" w14:textId="77777777" w:rsidR="00BA52CD" w:rsidRPr="00E3009F" w:rsidRDefault="00BA52C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b) Nguồn vốn từ chương trình, dự án hợp tác quốc tế, viện trợ, tài trợ theo quy định của pháp luật;</w:t>
            </w:r>
          </w:p>
          <w:p w14:paraId="5A50BE07" w14:textId="77777777" w:rsidR="00BA52CD" w:rsidRPr="00E3009F" w:rsidRDefault="00BA52C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c) Các nguồn thu hợp pháp khác theo quy định của pháp luật.</w:t>
            </w:r>
          </w:p>
          <w:p w14:paraId="6696E988" w14:textId="77777777" w:rsidR="00BA52CD" w:rsidRPr="00E3009F" w:rsidRDefault="00BA52CD" w:rsidP="00A12262">
            <w:pPr>
              <w:pStyle w:val="ThngthngWeb"/>
              <w:shd w:val="clear" w:color="auto" w:fill="FFFFFF"/>
              <w:spacing w:before="0" w:beforeAutospacing="0" w:after="0" w:afterAutospacing="0" w:line="240" w:lineRule="atLeast"/>
              <w:jc w:val="both"/>
              <w:rPr>
                <w:sz w:val="26"/>
                <w:szCs w:val="26"/>
              </w:rPr>
            </w:pPr>
            <w:r w:rsidRPr="00E3009F">
              <w:rPr>
                <w:sz w:val="26"/>
                <w:szCs w:val="26"/>
              </w:rPr>
              <w:t xml:space="preserve">Việc huy động và sử dụng các nguồn kinh phí hợp pháp khác phải bảo đảm không làm thay đổi mục tiêu, nội dung, tính chất </w:t>
            </w:r>
            <w:r w:rsidRPr="00E3009F">
              <w:rPr>
                <w:sz w:val="26"/>
                <w:szCs w:val="26"/>
              </w:rPr>
              <w:lastRenderedPageBreak/>
              <w:t>của hoạt động tiêu chuẩn, hoạt động quy chuẩn kỹ thuật và tuân thủ quy định của pháp luật có liên quan.</w:t>
            </w:r>
          </w:p>
          <w:p w14:paraId="65D7E0DE" w14:textId="4FDCEEAA" w:rsidR="00BA52CD" w:rsidRPr="00E3009F" w:rsidRDefault="00BA52CD" w:rsidP="00A12262">
            <w:pPr>
              <w:spacing w:line="240" w:lineRule="atLeast"/>
              <w:jc w:val="both"/>
              <w:rPr>
                <w:rFonts w:cs="Times New Roman"/>
                <w:sz w:val="26"/>
                <w:szCs w:val="26"/>
              </w:rPr>
            </w:pPr>
          </w:p>
        </w:tc>
        <w:tc>
          <w:tcPr>
            <w:tcW w:w="2872" w:type="dxa"/>
          </w:tcPr>
          <w:p w14:paraId="25DA9D96" w14:textId="73B777E6" w:rsidR="00E73AA4" w:rsidRPr="00E3009F" w:rsidRDefault="00E73AA4" w:rsidP="00A12262">
            <w:pPr>
              <w:spacing w:line="240" w:lineRule="atLeast"/>
              <w:jc w:val="both"/>
              <w:rPr>
                <w:rFonts w:cs="Times New Roman"/>
                <w:sz w:val="26"/>
                <w:szCs w:val="26"/>
              </w:rPr>
            </w:pPr>
          </w:p>
        </w:tc>
        <w:tc>
          <w:tcPr>
            <w:tcW w:w="1581" w:type="dxa"/>
          </w:tcPr>
          <w:p w14:paraId="4EDC3D69" w14:textId="3856B069" w:rsidR="00E73AA4" w:rsidRPr="00E3009F" w:rsidRDefault="00E73AA4" w:rsidP="00A12262">
            <w:pPr>
              <w:spacing w:line="240" w:lineRule="atLeast"/>
              <w:jc w:val="both"/>
              <w:rPr>
                <w:rFonts w:cs="Times New Roman"/>
                <w:sz w:val="26"/>
                <w:szCs w:val="26"/>
              </w:rPr>
            </w:pPr>
          </w:p>
        </w:tc>
        <w:tc>
          <w:tcPr>
            <w:tcW w:w="3119" w:type="dxa"/>
          </w:tcPr>
          <w:p w14:paraId="413DB908"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Điều 10. Nguồn kinh phí thực hiện</w:t>
            </w:r>
          </w:p>
          <w:p w14:paraId="77F03873"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 xml:space="preserve">1. Nguồn kinh phí ngân sách nhà nước lĩnh vực khoa học, công nghệ, đổi mới sáng tạo và chuyển đổi số cho hoạt động tiêu chuẩn, hoạt động quy chuẩn kỹ </w:t>
            </w:r>
            <w:r w:rsidRPr="00E3009F">
              <w:rPr>
                <w:rFonts w:cs="Times New Roman"/>
                <w:sz w:val="26"/>
                <w:szCs w:val="26"/>
              </w:rPr>
              <w:lastRenderedPageBreak/>
              <w:t>thuật được quy định tại Nghị định số 265/2025/NĐ-CP ngày 14 tháng 10 năm 2025 của Chính phủ quy định chi tiết và hướng dẫn thi hành một số điều của Luật Khoa học, Công nghệ và Đổi mới sáng tạo về tài chính và đầu tư trong khoa học, công nghệ và đổi mới sáng tạo.</w:t>
            </w:r>
          </w:p>
          <w:p w14:paraId="55B29E18"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2. Nguồn kinh phí hợp pháp khác ngoài ngân sách nhà nước để thực hiện hoạt động tiêu chuẩn, hoạt động quy chuẩn kỹ thuật, bao gồm:</w:t>
            </w:r>
          </w:p>
          <w:p w14:paraId="4067E48C"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a) Nguồn đóng góp, tài trợ, hỗ trợ tự nguyện của tổ chức, doanh nghiệp, cá nhân trong nước và nước ngoài;</w:t>
            </w:r>
          </w:p>
          <w:p w14:paraId="6CB7A2ED"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b) Nguồn vốn từ chương trình, dự án hợp tác quốc tế, viện trợ, tài trợ theo quy định của pháp luật;</w:t>
            </w:r>
          </w:p>
          <w:p w14:paraId="5BF256A8"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lastRenderedPageBreak/>
              <w:t>c) Các nguồn thu hợp pháp khác theo quy định của pháp luật.</w:t>
            </w:r>
          </w:p>
          <w:p w14:paraId="7AF34EE8" w14:textId="77777777" w:rsidR="00BA52CD" w:rsidRPr="00E3009F" w:rsidRDefault="00BA52CD" w:rsidP="00A12262">
            <w:pPr>
              <w:spacing w:line="240" w:lineRule="atLeast"/>
              <w:jc w:val="both"/>
              <w:rPr>
                <w:rFonts w:cs="Times New Roman"/>
                <w:sz w:val="26"/>
                <w:szCs w:val="26"/>
              </w:rPr>
            </w:pPr>
            <w:r w:rsidRPr="00E3009F">
              <w:rPr>
                <w:rFonts w:cs="Times New Roman"/>
                <w:sz w:val="26"/>
                <w:szCs w:val="26"/>
              </w:rPr>
              <w:t>Việc huy động và sử dụng các nguồn kinh phí hợp pháp khác phải bảo đảm không làm thay đổi mục tiêu, nội dung, tính chất của hoạt động tiêu chuẩn, hoạt động quy chuẩn kỹ thuật và tuân thủ quy định của pháp luật có liên quan.</w:t>
            </w:r>
          </w:p>
          <w:p w14:paraId="722CCEA4" w14:textId="3B0EC8E4" w:rsidR="00E73AA4" w:rsidRPr="00E3009F" w:rsidRDefault="00E73AA4" w:rsidP="00A12262">
            <w:pPr>
              <w:spacing w:line="240" w:lineRule="atLeast"/>
              <w:jc w:val="both"/>
              <w:rPr>
                <w:rFonts w:cs="Times New Roman"/>
                <w:sz w:val="26"/>
                <w:szCs w:val="26"/>
              </w:rPr>
            </w:pPr>
          </w:p>
        </w:tc>
        <w:tc>
          <w:tcPr>
            <w:tcW w:w="1816" w:type="dxa"/>
          </w:tcPr>
          <w:p w14:paraId="3C006031" w14:textId="40EF7018" w:rsidR="00E73AA4" w:rsidRPr="00E3009F" w:rsidRDefault="00BA52CD" w:rsidP="00406205">
            <w:pPr>
              <w:spacing w:line="240" w:lineRule="atLeast"/>
              <w:jc w:val="both"/>
              <w:rPr>
                <w:rFonts w:cs="Times New Roman"/>
                <w:spacing w:val="-8"/>
                <w:sz w:val="26"/>
                <w:szCs w:val="26"/>
              </w:rPr>
            </w:pPr>
            <w:r w:rsidRPr="00E3009F">
              <w:rPr>
                <w:rFonts w:cs="Times New Roman"/>
                <w:spacing w:val="-8"/>
                <w:sz w:val="26"/>
                <w:szCs w:val="26"/>
              </w:rPr>
              <w:lastRenderedPageBreak/>
              <w:t>Theo quy định của Thông tư</w:t>
            </w:r>
          </w:p>
        </w:tc>
      </w:tr>
    </w:tbl>
    <w:p w14:paraId="6FFE745E" w14:textId="03E28AD8" w:rsidR="002D608D" w:rsidRPr="00E3009F" w:rsidRDefault="002D608D" w:rsidP="00063668">
      <w:pPr>
        <w:jc w:val="right"/>
        <w:rPr>
          <w:rFonts w:cs="Times New Roman"/>
          <w:sz w:val="24"/>
          <w:szCs w:val="24"/>
        </w:rPr>
      </w:pPr>
    </w:p>
    <w:p w14:paraId="5F50F21D" w14:textId="77777777" w:rsidR="00623773" w:rsidRPr="00E3009F" w:rsidRDefault="00623773" w:rsidP="00063668">
      <w:pPr>
        <w:jc w:val="right"/>
        <w:rPr>
          <w:rFonts w:cs="Times New Roman"/>
          <w:sz w:val="24"/>
          <w:szCs w:val="24"/>
        </w:rPr>
      </w:pPr>
    </w:p>
    <w:p w14:paraId="24A86ADA" w14:textId="19789024" w:rsidR="008538BF" w:rsidRPr="00E3009F" w:rsidRDefault="008538BF" w:rsidP="00886C07">
      <w:pPr>
        <w:rPr>
          <w:rFonts w:cs="Times New Roman"/>
          <w:i/>
          <w:sz w:val="26"/>
          <w:szCs w:val="26"/>
        </w:rPr>
      </w:pPr>
    </w:p>
    <w:sectPr w:rsidR="008538BF" w:rsidRPr="00E3009F" w:rsidSect="00710960">
      <w:headerReference w:type="default" r:id="rId8"/>
      <w:pgSz w:w="16840" w:h="11907" w:orient="landscape"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4A7C9" w14:textId="77777777" w:rsidR="00D36639" w:rsidRDefault="00D36639" w:rsidP="00B601DE">
      <w:r>
        <w:separator/>
      </w:r>
    </w:p>
  </w:endnote>
  <w:endnote w:type="continuationSeparator" w:id="0">
    <w:p w14:paraId="2AA5BE53" w14:textId="77777777" w:rsidR="00D36639" w:rsidRDefault="00D36639" w:rsidP="00B6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6ED91" w14:textId="77777777" w:rsidR="00D36639" w:rsidRDefault="00D36639" w:rsidP="00B601DE">
      <w:r>
        <w:separator/>
      </w:r>
    </w:p>
  </w:footnote>
  <w:footnote w:type="continuationSeparator" w:id="0">
    <w:p w14:paraId="3EA99A1C" w14:textId="77777777" w:rsidR="00D36639" w:rsidRDefault="00D36639" w:rsidP="00B60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0009303"/>
      <w:docPartObj>
        <w:docPartGallery w:val="Page Numbers (Top of Page)"/>
        <w:docPartUnique/>
      </w:docPartObj>
    </w:sdtPr>
    <w:sdtEndPr>
      <w:rPr>
        <w:noProof/>
      </w:rPr>
    </w:sdtEndPr>
    <w:sdtContent>
      <w:p w14:paraId="0C566153" w14:textId="338F21F4" w:rsidR="00DD25EC" w:rsidRDefault="00DD25EC">
        <w:pPr>
          <w:pStyle w:val="utrang"/>
          <w:jc w:val="center"/>
        </w:pPr>
        <w:r>
          <w:fldChar w:fldCharType="begin"/>
        </w:r>
        <w:r>
          <w:instrText xml:space="preserve"> PAGE   \* MERGEFORMAT </w:instrText>
        </w:r>
        <w:r>
          <w:fldChar w:fldCharType="separate"/>
        </w:r>
        <w:r w:rsidR="005849B6">
          <w:rPr>
            <w:noProof/>
          </w:rPr>
          <w:t>39</w:t>
        </w:r>
        <w:r>
          <w:rPr>
            <w:noProof/>
          </w:rPr>
          <w:fldChar w:fldCharType="end"/>
        </w:r>
      </w:p>
    </w:sdtContent>
  </w:sdt>
  <w:p w14:paraId="393F35AB" w14:textId="77777777" w:rsidR="00DD25EC" w:rsidRDefault="00DD25EC">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A742D4"/>
    <w:multiLevelType w:val="hybridMultilevel"/>
    <w:tmpl w:val="4004257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DBA"/>
    <w:rsid w:val="0002465B"/>
    <w:rsid w:val="00036E28"/>
    <w:rsid w:val="00041933"/>
    <w:rsid w:val="000469A0"/>
    <w:rsid w:val="000509E8"/>
    <w:rsid w:val="0005209E"/>
    <w:rsid w:val="00060543"/>
    <w:rsid w:val="00060887"/>
    <w:rsid w:val="00063668"/>
    <w:rsid w:val="000859BC"/>
    <w:rsid w:val="000872F9"/>
    <w:rsid w:val="0009316E"/>
    <w:rsid w:val="000B2A4E"/>
    <w:rsid w:val="000B5A34"/>
    <w:rsid w:val="00100EA5"/>
    <w:rsid w:val="00112405"/>
    <w:rsid w:val="00114417"/>
    <w:rsid w:val="001158F4"/>
    <w:rsid w:val="00136083"/>
    <w:rsid w:val="001510D0"/>
    <w:rsid w:val="00163F7C"/>
    <w:rsid w:val="00174DBA"/>
    <w:rsid w:val="0017765D"/>
    <w:rsid w:val="00183497"/>
    <w:rsid w:val="001C6F28"/>
    <w:rsid w:val="001D3CC8"/>
    <w:rsid w:val="001E0E1D"/>
    <w:rsid w:val="0020073E"/>
    <w:rsid w:val="00222C9E"/>
    <w:rsid w:val="00232427"/>
    <w:rsid w:val="00261E60"/>
    <w:rsid w:val="00265A8B"/>
    <w:rsid w:val="002805DB"/>
    <w:rsid w:val="002922B3"/>
    <w:rsid w:val="002926FC"/>
    <w:rsid w:val="002B4BFC"/>
    <w:rsid w:val="002D608D"/>
    <w:rsid w:val="002E2EB8"/>
    <w:rsid w:val="002E746E"/>
    <w:rsid w:val="002E7E87"/>
    <w:rsid w:val="002F12E7"/>
    <w:rsid w:val="0032514D"/>
    <w:rsid w:val="00352F82"/>
    <w:rsid w:val="00372F45"/>
    <w:rsid w:val="0037460A"/>
    <w:rsid w:val="00391BAD"/>
    <w:rsid w:val="0039265F"/>
    <w:rsid w:val="0039328D"/>
    <w:rsid w:val="00393757"/>
    <w:rsid w:val="003C6E67"/>
    <w:rsid w:val="003D7010"/>
    <w:rsid w:val="003D748C"/>
    <w:rsid w:val="00406205"/>
    <w:rsid w:val="00407DD4"/>
    <w:rsid w:val="00415F2D"/>
    <w:rsid w:val="00425711"/>
    <w:rsid w:val="00436260"/>
    <w:rsid w:val="004378D8"/>
    <w:rsid w:val="0046347C"/>
    <w:rsid w:val="00465544"/>
    <w:rsid w:val="00473888"/>
    <w:rsid w:val="00490582"/>
    <w:rsid w:val="004A7106"/>
    <w:rsid w:val="004B46BE"/>
    <w:rsid w:val="004F1179"/>
    <w:rsid w:val="004F2474"/>
    <w:rsid w:val="005064A3"/>
    <w:rsid w:val="00521F2D"/>
    <w:rsid w:val="00532458"/>
    <w:rsid w:val="0053581C"/>
    <w:rsid w:val="0056294D"/>
    <w:rsid w:val="0057004B"/>
    <w:rsid w:val="0058474B"/>
    <w:rsid w:val="005849B6"/>
    <w:rsid w:val="005967CE"/>
    <w:rsid w:val="00596F29"/>
    <w:rsid w:val="00596F69"/>
    <w:rsid w:val="005978F8"/>
    <w:rsid w:val="005A5456"/>
    <w:rsid w:val="005C4CC0"/>
    <w:rsid w:val="005D4B91"/>
    <w:rsid w:val="005E374A"/>
    <w:rsid w:val="005F4870"/>
    <w:rsid w:val="005F5454"/>
    <w:rsid w:val="00607BA2"/>
    <w:rsid w:val="00623773"/>
    <w:rsid w:val="00637791"/>
    <w:rsid w:val="00653CE6"/>
    <w:rsid w:val="0066229B"/>
    <w:rsid w:val="00692D62"/>
    <w:rsid w:val="006A044A"/>
    <w:rsid w:val="006A7BAA"/>
    <w:rsid w:val="006B1645"/>
    <w:rsid w:val="006C3A34"/>
    <w:rsid w:val="006C3C3A"/>
    <w:rsid w:val="006D5F92"/>
    <w:rsid w:val="006D6285"/>
    <w:rsid w:val="006E251D"/>
    <w:rsid w:val="006F1D0F"/>
    <w:rsid w:val="006F7B6A"/>
    <w:rsid w:val="00710960"/>
    <w:rsid w:val="00714C13"/>
    <w:rsid w:val="007377B6"/>
    <w:rsid w:val="00761754"/>
    <w:rsid w:val="00772F11"/>
    <w:rsid w:val="00776B47"/>
    <w:rsid w:val="00781EDF"/>
    <w:rsid w:val="007A050C"/>
    <w:rsid w:val="007B5E45"/>
    <w:rsid w:val="007C399D"/>
    <w:rsid w:val="007E411E"/>
    <w:rsid w:val="007F5488"/>
    <w:rsid w:val="0083459C"/>
    <w:rsid w:val="00840773"/>
    <w:rsid w:val="00845BA2"/>
    <w:rsid w:val="00845C37"/>
    <w:rsid w:val="008538BF"/>
    <w:rsid w:val="00861FB5"/>
    <w:rsid w:val="0087079B"/>
    <w:rsid w:val="008824C7"/>
    <w:rsid w:val="00884EBD"/>
    <w:rsid w:val="00885C2F"/>
    <w:rsid w:val="00886C07"/>
    <w:rsid w:val="008931B4"/>
    <w:rsid w:val="008A238E"/>
    <w:rsid w:val="008B72DF"/>
    <w:rsid w:val="008C1EA1"/>
    <w:rsid w:val="008C47A2"/>
    <w:rsid w:val="008D3D2B"/>
    <w:rsid w:val="008D556E"/>
    <w:rsid w:val="008E6EF4"/>
    <w:rsid w:val="008F00BB"/>
    <w:rsid w:val="00903225"/>
    <w:rsid w:val="009105E0"/>
    <w:rsid w:val="00922AEC"/>
    <w:rsid w:val="00943295"/>
    <w:rsid w:val="00950FF3"/>
    <w:rsid w:val="009629F1"/>
    <w:rsid w:val="00962FDD"/>
    <w:rsid w:val="00973CEA"/>
    <w:rsid w:val="00980689"/>
    <w:rsid w:val="009917B6"/>
    <w:rsid w:val="00997F08"/>
    <w:rsid w:val="009A783B"/>
    <w:rsid w:val="009B7F32"/>
    <w:rsid w:val="009C1078"/>
    <w:rsid w:val="009E3CFC"/>
    <w:rsid w:val="009E6636"/>
    <w:rsid w:val="009F5532"/>
    <w:rsid w:val="009F74E8"/>
    <w:rsid w:val="00A0095E"/>
    <w:rsid w:val="00A05DF3"/>
    <w:rsid w:val="00A12262"/>
    <w:rsid w:val="00A22FD7"/>
    <w:rsid w:val="00A31067"/>
    <w:rsid w:val="00A315BE"/>
    <w:rsid w:val="00A509BD"/>
    <w:rsid w:val="00A7364C"/>
    <w:rsid w:val="00A855A9"/>
    <w:rsid w:val="00AA1986"/>
    <w:rsid w:val="00AA3C9B"/>
    <w:rsid w:val="00AB3629"/>
    <w:rsid w:val="00AD122F"/>
    <w:rsid w:val="00AF1721"/>
    <w:rsid w:val="00AF5681"/>
    <w:rsid w:val="00B020A3"/>
    <w:rsid w:val="00B04324"/>
    <w:rsid w:val="00B0511F"/>
    <w:rsid w:val="00B07D77"/>
    <w:rsid w:val="00B10572"/>
    <w:rsid w:val="00B30833"/>
    <w:rsid w:val="00B4192D"/>
    <w:rsid w:val="00B4316C"/>
    <w:rsid w:val="00B601DE"/>
    <w:rsid w:val="00B6506E"/>
    <w:rsid w:val="00B6776D"/>
    <w:rsid w:val="00B73257"/>
    <w:rsid w:val="00B919DC"/>
    <w:rsid w:val="00B94DC1"/>
    <w:rsid w:val="00BA372B"/>
    <w:rsid w:val="00BA52CD"/>
    <w:rsid w:val="00BA76CE"/>
    <w:rsid w:val="00BB0566"/>
    <w:rsid w:val="00BB1EA9"/>
    <w:rsid w:val="00BB4177"/>
    <w:rsid w:val="00BB7D72"/>
    <w:rsid w:val="00BC294B"/>
    <w:rsid w:val="00BC5162"/>
    <w:rsid w:val="00BE3CD9"/>
    <w:rsid w:val="00BE569E"/>
    <w:rsid w:val="00C023DD"/>
    <w:rsid w:val="00C243D4"/>
    <w:rsid w:val="00C561EF"/>
    <w:rsid w:val="00C571D7"/>
    <w:rsid w:val="00C62D68"/>
    <w:rsid w:val="00C64B33"/>
    <w:rsid w:val="00C656B8"/>
    <w:rsid w:val="00C67F9A"/>
    <w:rsid w:val="00C73953"/>
    <w:rsid w:val="00C74804"/>
    <w:rsid w:val="00C75731"/>
    <w:rsid w:val="00C76CE4"/>
    <w:rsid w:val="00C8084A"/>
    <w:rsid w:val="00C817ED"/>
    <w:rsid w:val="00C82278"/>
    <w:rsid w:val="00C83113"/>
    <w:rsid w:val="00CB38D6"/>
    <w:rsid w:val="00CD4EDB"/>
    <w:rsid w:val="00CD5323"/>
    <w:rsid w:val="00CD7E9D"/>
    <w:rsid w:val="00CE1501"/>
    <w:rsid w:val="00D122F5"/>
    <w:rsid w:val="00D33D9A"/>
    <w:rsid w:val="00D36639"/>
    <w:rsid w:val="00D52073"/>
    <w:rsid w:val="00D61241"/>
    <w:rsid w:val="00D6128A"/>
    <w:rsid w:val="00D76E8D"/>
    <w:rsid w:val="00D90402"/>
    <w:rsid w:val="00D95BDA"/>
    <w:rsid w:val="00D95C2B"/>
    <w:rsid w:val="00D97ED1"/>
    <w:rsid w:val="00DA199B"/>
    <w:rsid w:val="00DA5A53"/>
    <w:rsid w:val="00DB5155"/>
    <w:rsid w:val="00DD25EC"/>
    <w:rsid w:val="00DD2FAF"/>
    <w:rsid w:val="00DE1806"/>
    <w:rsid w:val="00DE354F"/>
    <w:rsid w:val="00DE7D71"/>
    <w:rsid w:val="00E3009F"/>
    <w:rsid w:val="00E51FD5"/>
    <w:rsid w:val="00E70DC2"/>
    <w:rsid w:val="00E73AA4"/>
    <w:rsid w:val="00E73F2F"/>
    <w:rsid w:val="00E753B5"/>
    <w:rsid w:val="00E758DB"/>
    <w:rsid w:val="00E84BC1"/>
    <w:rsid w:val="00E86E60"/>
    <w:rsid w:val="00E92055"/>
    <w:rsid w:val="00E94251"/>
    <w:rsid w:val="00E94E81"/>
    <w:rsid w:val="00EA7350"/>
    <w:rsid w:val="00EB068F"/>
    <w:rsid w:val="00EC4C7D"/>
    <w:rsid w:val="00EC7097"/>
    <w:rsid w:val="00EC75C7"/>
    <w:rsid w:val="00ED2AE9"/>
    <w:rsid w:val="00F169E9"/>
    <w:rsid w:val="00F178CE"/>
    <w:rsid w:val="00F24988"/>
    <w:rsid w:val="00F2652B"/>
    <w:rsid w:val="00F34311"/>
    <w:rsid w:val="00F5790B"/>
    <w:rsid w:val="00F740B2"/>
    <w:rsid w:val="00F852CD"/>
    <w:rsid w:val="00F879EC"/>
    <w:rsid w:val="00FC4DA9"/>
    <w:rsid w:val="00FC5C59"/>
    <w:rsid w:val="00FD1096"/>
    <w:rsid w:val="00FE0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4BE29"/>
  <w15:docId w15:val="{EECDB65A-84C0-4BAC-8C12-BF8951BAF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853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6B1645"/>
    <w:pPr>
      <w:ind w:left="720"/>
      <w:contextualSpacing/>
    </w:pPr>
  </w:style>
  <w:style w:type="character" w:styleId="Siuktni">
    <w:name w:val="Hyperlink"/>
    <w:basedOn w:val="Phngmcinhcuaoanvn"/>
    <w:uiPriority w:val="99"/>
    <w:unhideWhenUsed/>
    <w:rsid w:val="00532458"/>
    <w:rPr>
      <w:color w:val="0000FF"/>
      <w:u w:val="single"/>
    </w:rPr>
  </w:style>
  <w:style w:type="character" w:styleId="Manh">
    <w:name w:val="Strong"/>
    <w:qFormat/>
    <w:rsid w:val="00781EDF"/>
    <w:rPr>
      <w:b/>
      <w:bCs/>
    </w:rPr>
  </w:style>
  <w:style w:type="paragraph" w:styleId="utrang">
    <w:name w:val="header"/>
    <w:basedOn w:val="Binhthng"/>
    <w:link w:val="utrangChar"/>
    <w:uiPriority w:val="99"/>
    <w:unhideWhenUsed/>
    <w:rsid w:val="00B601DE"/>
    <w:pPr>
      <w:tabs>
        <w:tab w:val="center" w:pos="4680"/>
        <w:tab w:val="right" w:pos="9360"/>
      </w:tabs>
    </w:pPr>
  </w:style>
  <w:style w:type="character" w:customStyle="1" w:styleId="utrangChar">
    <w:name w:val="Đầu trang Char"/>
    <w:basedOn w:val="Phngmcinhcuaoanvn"/>
    <w:link w:val="utrang"/>
    <w:uiPriority w:val="99"/>
    <w:rsid w:val="00B601DE"/>
  </w:style>
  <w:style w:type="paragraph" w:styleId="Chntrang">
    <w:name w:val="footer"/>
    <w:basedOn w:val="Binhthng"/>
    <w:link w:val="ChntrangChar"/>
    <w:uiPriority w:val="99"/>
    <w:unhideWhenUsed/>
    <w:rsid w:val="00B601DE"/>
    <w:pPr>
      <w:tabs>
        <w:tab w:val="center" w:pos="4680"/>
        <w:tab w:val="right" w:pos="9360"/>
      </w:tabs>
    </w:pPr>
  </w:style>
  <w:style w:type="character" w:customStyle="1" w:styleId="ChntrangChar">
    <w:name w:val="Chân trang Char"/>
    <w:basedOn w:val="Phngmcinhcuaoanvn"/>
    <w:link w:val="Chntrang"/>
    <w:uiPriority w:val="99"/>
    <w:rsid w:val="00B601DE"/>
  </w:style>
  <w:style w:type="paragraph" w:styleId="Bongchuthich">
    <w:name w:val="Balloon Text"/>
    <w:basedOn w:val="Binhthng"/>
    <w:link w:val="BongchuthichChar"/>
    <w:uiPriority w:val="99"/>
    <w:semiHidden/>
    <w:unhideWhenUsed/>
    <w:rsid w:val="008E6EF4"/>
    <w:rPr>
      <w:rFonts w:ascii="Tahoma" w:hAnsi="Tahoma" w:cs="Tahoma"/>
      <w:sz w:val="16"/>
      <w:szCs w:val="16"/>
    </w:rPr>
  </w:style>
  <w:style w:type="character" w:customStyle="1" w:styleId="BongchuthichChar">
    <w:name w:val="Bóng chú thích Char"/>
    <w:basedOn w:val="Phngmcinhcuaoanvn"/>
    <w:link w:val="Bongchuthich"/>
    <w:uiPriority w:val="99"/>
    <w:semiHidden/>
    <w:rsid w:val="008E6EF4"/>
    <w:rPr>
      <w:rFonts w:ascii="Tahoma" w:hAnsi="Tahoma" w:cs="Tahoma"/>
      <w:sz w:val="16"/>
      <w:szCs w:val="16"/>
    </w:rPr>
  </w:style>
  <w:style w:type="paragraph" w:styleId="ThngthngWeb">
    <w:name w:val="Normal (Web)"/>
    <w:basedOn w:val="Binhthng"/>
    <w:uiPriority w:val="99"/>
    <w:unhideWhenUsed/>
    <w:rsid w:val="00962FDD"/>
    <w:pPr>
      <w:spacing w:before="100" w:beforeAutospacing="1" w:after="100" w:afterAutospacing="1"/>
    </w:pPr>
    <w:rPr>
      <w:rFonts w:eastAsia="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59385">
      <w:bodyDiv w:val="1"/>
      <w:marLeft w:val="0"/>
      <w:marRight w:val="0"/>
      <w:marTop w:val="0"/>
      <w:marBottom w:val="0"/>
      <w:divBdr>
        <w:top w:val="none" w:sz="0" w:space="0" w:color="auto"/>
        <w:left w:val="none" w:sz="0" w:space="0" w:color="auto"/>
        <w:bottom w:val="none" w:sz="0" w:space="0" w:color="auto"/>
        <w:right w:val="none" w:sz="0" w:space="0" w:color="auto"/>
      </w:divBdr>
    </w:div>
    <w:div w:id="254437115">
      <w:bodyDiv w:val="1"/>
      <w:marLeft w:val="0"/>
      <w:marRight w:val="0"/>
      <w:marTop w:val="0"/>
      <w:marBottom w:val="0"/>
      <w:divBdr>
        <w:top w:val="none" w:sz="0" w:space="0" w:color="auto"/>
        <w:left w:val="none" w:sz="0" w:space="0" w:color="auto"/>
        <w:bottom w:val="none" w:sz="0" w:space="0" w:color="auto"/>
        <w:right w:val="none" w:sz="0" w:space="0" w:color="auto"/>
      </w:divBdr>
    </w:div>
    <w:div w:id="288585477">
      <w:bodyDiv w:val="1"/>
      <w:marLeft w:val="0"/>
      <w:marRight w:val="0"/>
      <w:marTop w:val="0"/>
      <w:marBottom w:val="0"/>
      <w:divBdr>
        <w:top w:val="none" w:sz="0" w:space="0" w:color="auto"/>
        <w:left w:val="none" w:sz="0" w:space="0" w:color="auto"/>
        <w:bottom w:val="none" w:sz="0" w:space="0" w:color="auto"/>
        <w:right w:val="none" w:sz="0" w:space="0" w:color="auto"/>
      </w:divBdr>
    </w:div>
    <w:div w:id="345254581">
      <w:bodyDiv w:val="1"/>
      <w:marLeft w:val="0"/>
      <w:marRight w:val="0"/>
      <w:marTop w:val="0"/>
      <w:marBottom w:val="0"/>
      <w:divBdr>
        <w:top w:val="none" w:sz="0" w:space="0" w:color="auto"/>
        <w:left w:val="none" w:sz="0" w:space="0" w:color="auto"/>
        <w:bottom w:val="none" w:sz="0" w:space="0" w:color="auto"/>
        <w:right w:val="none" w:sz="0" w:space="0" w:color="auto"/>
      </w:divBdr>
    </w:div>
    <w:div w:id="529077135">
      <w:bodyDiv w:val="1"/>
      <w:marLeft w:val="0"/>
      <w:marRight w:val="0"/>
      <w:marTop w:val="0"/>
      <w:marBottom w:val="0"/>
      <w:divBdr>
        <w:top w:val="none" w:sz="0" w:space="0" w:color="auto"/>
        <w:left w:val="none" w:sz="0" w:space="0" w:color="auto"/>
        <w:bottom w:val="none" w:sz="0" w:space="0" w:color="auto"/>
        <w:right w:val="none" w:sz="0" w:space="0" w:color="auto"/>
      </w:divBdr>
    </w:div>
    <w:div w:id="667370996">
      <w:bodyDiv w:val="1"/>
      <w:marLeft w:val="0"/>
      <w:marRight w:val="0"/>
      <w:marTop w:val="0"/>
      <w:marBottom w:val="0"/>
      <w:divBdr>
        <w:top w:val="none" w:sz="0" w:space="0" w:color="auto"/>
        <w:left w:val="none" w:sz="0" w:space="0" w:color="auto"/>
        <w:bottom w:val="none" w:sz="0" w:space="0" w:color="auto"/>
        <w:right w:val="none" w:sz="0" w:space="0" w:color="auto"/>
      </w:divBdr>
    </w:div>
    <w:div w:id="1342274823">
      <w:bodyDiv w:val="1"/>
      <w:marLeft w:val="0"/>
      <w:marRight w:val="0"/>
      <w:marTop w:val="0"/>
      <w:marBottom w:val="0"/>
      <w:divBdr>
        <w:top w:val="none" w:sz="0" w:space="0" w:color="auto"/>
        <w:left w:val="none" w:sz="0" w:space="0" w:color="auto"/>
        <w:bottom w:val="none" w:sz="0" w:space="0" w:color="auto"/>
        <w:right w:val="none" w:sz="0" w:space="0" w:color="auto"/>
      </w:divBdr>
    </w:div>
    <w:div w:id="1719671913">
      <w:bodyDiv w:val="1"/>
      <w:marLeft w:val="0"/>
      <w:marRight w:val="0"/>
      <w:marTop w:val="0"/>
      <w:marBottom w:val="0"/>
      <w:divBdr>
        <w:top w:val="none" w:sz="0" w:space="0" w:color="auto"/>
        <w:left w:val="none" w:sz="0" w:space="0" w:color="auto"/>
        <w:bottom w:val="none" w:sz="0" w:space="0" w:color="auto"/>
        <w:right w:val="none" w:sz="0" w:space="0" w:color="auto"/>
      </w:divBdr>
    </w:div>
    <w:div w:id="1724908629">
      <w:bodyDiv w:val="1"/>
      <w:marLeft w:val="0"/>
      <w:marRight w:val="0"/>
      <w:marTop w:val="0"/>
      <w:marBottom w:val="0"/>
      <w:divBdr>
        <w:top w:val="none" w:sz="0" w:space="0" w:color="auto"/>
        <w:left w:val="none" w:sz="0" w:space="0" w:color="auto"/>
        <w:bottom w:val="none" w:sz="0" w:space="0" w:color="auto"/>
        <w:right w:val="none" w:sz="0" w:space="0" w:color="auto"/>
      </w:divBdr>
    </w:div>
    <w:div w:id="1861775660">
      <w:bodyDiv w:val="1"/>
      <w:marLeft w:val="0"/>
      <w:marRight w:val="0"/>
      <w:marTop w:val="0"/>
      <w:marBottom w:val="0"/>
      <w:divBdr>
        <w:top w:val="none" w:sz="0" w:space="0" w:color="auto"/>
        <w:left w:val="none" w:sz="0" w:space="0" w:color="auto"/>
        <w:bottom w:val="none" w:sz="0" w:space="0" w:color="auto"/>
        <w:right w:val="none" w:sz="0" w:space="0" w:color="auto"/>
      </w:divBdr>
    </w:div>
    <w:div w:id="2011790671">
      <w:bodyDiv w:val="1"/>
      <w:marLeft w:val="0"/>
      <w:marRight w:val="0"/>
      <w:marTop w:val="0"/>
      <w:marBottom w:val="0"/>
      <w:divBdr>
        <w:top w:val="none" w:sz="0" w:space="0" w:color="auto"/>
        <w:left w:val="none" w:sz="0" w:space="0" w:color="auto"/>
        <w:bottom w:val="none" w:sz="0" w:space="0" w:color="auto"/>
        <w:right w:val="none" w:sz="0" w:space="0" w:color="auto"/>
      </w:divBdr>
    </w:div>
    <w:div w:id="20592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B55C2-E138-4565-BCB5-3FBEB1A0A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8485</Words>
  <Characters>48371</Characters>
  <Application>Microsoft Office Word</Application>
  <DocSecurity>0</DocSecurity>
  <Lines>403</Lines>
  <Paragraphs>113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MSSTUYEN</dc:creator>
  <cp:lastModifiedBy>ADMIN</cp:lastModifiedBy>
  <cp:revision>4</cp:revision>
  <cp:lastPrinted>2026-06-05T15:52:00Z</cp:lastPrinted>
  <dcterms:created xsi:type="dcterms:W3CDTF">2026-06-05T15:52:00Z</dcterms:created>
  <dcterms:modified xsi:type="dcterms:W3CDTF">2026-06-05T16:58:00Z</dcterms:modified>
</cp:coreProperties>
</file>